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73" w:rsidRPr="00020987" w:rsidRDefault="00615773" w:rsidP="00615773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20987">
        <w:rPr>
          <w:rFonts w:ascii="Times New Roman" w:eastAsia="Times New Roman" w:hAnsi="Times New Roman"/>
          <w:b/>
          <w:sz w:val="20"/>
          <w:szCs w:val="20"/>
        </w:rPr>
        <w:t xml:space="preserve">Table 2: </w:t>
      </w:r>
      <w:r w:rsidRPr="00020987">
        <w:rPr>
          <w:rFonts w:ascii="Times New Roman" w:eastAsia="Times New Roman" w:hAnsi="Times New Roman"/>
          <w:sz w:val="20"/>
          <w:szCs w:val="20"/>
        </w:rPr>
        <w:t>Study characteristics.</w:t>
      </w:r>
    </w:p>
    <w:p w:rsidR="00615773" w:rsidRPr="00020987" w:rsidRDefault="00615773" w:rsidP="00615773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15773" w:rsidRPr="00020987" w:rsidRDefault="00615773" w:rsidP="00615773">
      <w:pPr>
        <w:tabs>
          <w:tab w:val="left" w:pos="12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170"/>
        <w:gridCol w:w="414"/>
        <w:gridCol w:w="1443"/>
        <w:gridCol w:w="1842"/>
        <w:gridCol w:w="1800"/>
        <w:gridCol w:w="1767"/>
      </w:tblGrid>
      <w:tr w:rsidR="00615773" w:rsidRPr="00020987" w:rsidTr="00564F84">
        <w:tc>
          <w:tcPr>
            <w:tcW w:w="1815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Author, Date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Study Type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 w:rsidRPr="0002098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Select Population Characteristics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Drug Tested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Study design/Follow up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/>
                <w:sz w:val="20"/>
                <w:szCs w:val="20"/>
              </w:rPr>
              <w:t>Variables Included in Review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615773" w:rsidRPr="00020987" w:rsidRDefault="00417425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Crippa et al., 2016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 </w:t>
            </w:r>
            <w:r w:rsidR="00615773"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[49]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Non-randomized trial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All baseline mean daytime BP &gt; 135/85 mmHg, mean nighttime BP &gt; 120/70 mmHg, already on anti-HTN medications. 32 “non-dippers,” 9 “risers.” 5 symptomatic OSA events per hour or 15 asymptomatic events per hour.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Barnidipine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10 mg barnidipine at bedtime added to various previously prescribed anti-HTN regimens. 24-hr ABP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monitoring repeated after 12 weeks of treatment.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Dipping Pattern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• Average daytime BP 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nighttime BP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417425" w:rsidRPr="00020987" w:rsidRDefault="00417425" w:rsidP="0041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Kario et al., 2014</w:t>
            </w:r>
          </w:p>
          <w:p w:rsidR="00615773" w:rsidRPr="00020987" w:rsidRDefault="00417425" w:rsidP="004174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615773"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[46]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Randomized crossover trial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 sleep ABP measurements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≥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120/70 mmHg. All participants already taking at least 1 anti-HTN medication. Excluded those already treated with 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sympatholytic or bedtime dosing of anti-HTN drug.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Nifedipine;</w:t>
            </w:r>
          </w:p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Carvedilol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Baseline TSP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&amp; polysomnography performed 2-8 weeks before a single dose of nifedipine ER 40 mg or carvedilol 20 mg given after dinner. Measurements repeated on night of treatment. Then 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 weeks washout period and process repeated with other drug.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• Average daytime BP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nighttime BP: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o Fixed interval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o Oxygen-triggered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417425" w:rsidRPr="00020987" w:rsidRDefault="00417425" w:rsidP="0041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Kasiakogias et al., 2015 </w:t>
            </w:r>
          </w:p>
          <w:p w:rsidR="00615773" w:rsidRPr="00020987" w:rsidRDefault="00417425" w:rsidP="004174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615773"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[50]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Non-randomized crossover trial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Adults with stage I-II HTN and AHI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≥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15. Those already on anti-HTN medications excluded. 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Valsartan for those with stage I HTN; </w:t>
            </w:r>
          </w:p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Valsartan/amlodipine for those with stage II HTN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160 mg valsartan for stage I; 5/160 mg, 10/160 mg, or 10/320 mg amlodipine/valsartan for stage II.</w:t>
            </w:r>
          </w:p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8 weeks with a.m. treatment, then 8 weeks with p.m. treatment.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daytime BP(systolic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nighttime BP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Dipping pattern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417425" w:rsidRPr="00020987" w:rsidRDefault="00417425" w:rsidP="0041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Serinel et al., 2017</w:t>
            </w:r>
          </w:p>
          <w:p w:rsidR="00615773" w:rsidRPr="00020987" w:rsidRDefault="00417425" w:rsidP="004174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 </w:t>
            </w:r>
            <w:r w:rsidR="00615773"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[47]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Double-blind randomized placebo-controlled crossover trial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Awake BP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≥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135/85 mmHg, asleep BP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≥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120/70 mmHg, AHI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≥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15. Taking &lt; 33 anti-HTN medications. Excluded those with sever HTN &gt; 180/110 mmHg and severe OSA.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Perindopril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Participants treated with either 10 mg perindopril 10 mg in a.m. with placebo at given in p.m. or 10 mg perindopril in p.m. and placebo in a.m. for 6 weeks. Then regimens switched and treated for 6 weeks. CPAP also added in last 8 weeks.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Dipping Pattern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daytime BP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nighttime BP: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417425" w:rsidRPr="00020987" w:rsidRDefault="00417425" w:rsidP="0041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Yoshida et al., 2017</w:t>
            </w:r>
          </w:p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[51]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Case Study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Young adult male with severe OSA and prominent BP surge during sleep measured by </w:t>
            </w: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TSP. History of 3 sleep-onset strokes. Non-compliant with CPAP.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Doxazosin 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Doxazosin 4 mg given at bedtime. Patient stroke free 2 years after intervention.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6157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Hypoxia-triggered nocturnal BP surge</w:t>
            </w:r>
          </w:p>
          <w:p w:rsidR="00615773" w:rsidRPr="00020987" w:rsidRDefault="00615773" w:rsidP="006157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Early morning BP</w:t>
            </w:r>
          </w:p>
        </w:tc>
      </w:tr>
      <w:tr w:rsidR="00615773" w:rsidRPr="00020987" w:rsidTr="00564F84">
        <w:tc>
          <w:tcPr>
            <w:tcW w:w="1815" w:type="dxa"/>
            <w:vAlign w:val="center"/>
          </w:tcPr>
          <w:p w:rsidR="00417425" w:rsidRPr="00020987" w:rsidRDefault="00417425" w:rsidP="0041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09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Ziegler et al., 2017</w:t>
            </w:r>
          </w:p>
          <w:p w:rsidR="00615773" w:rsidRPr="00020987" w:rsidRDefault="00417425" w:rsidP="004174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615773" w:rsidRPr="0002098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[48]</w:t>
            </w:r>
          </w:p>
        </w:tc>
        <w:tc>
          <w:tcPr>
            <w:tcW w:w="182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Blinded crossover</w:t>
            </w:r>
          </w:p>
        </w:tc>
        <w:tc>
          <w:tcPr>
            <w:tcW w:w="17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47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 office BP measurements &gt; 140/90 mmHg, AHI &gt; 10. Excluded those with BP &gt; 180/105 mmHg, those taking certain medications affecting cardiovascular metrics or sleep. </w:t>
            </w:r>
          </w:p>
        </w:tc>
        <w:tc>
          <w:tcPr>
            <w:tcW w:w="1969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Nebivolol</w:t>
            </w:r>
          </w:p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HCTZ</w:t>
            </w:r>
          </w:p>
        </w:tc>
        <w:tc>
          <w:tcPr>
            <w:tcW w:w="2170" w:type="dxa"/>
            <w:vAlign w:val="center"/>
          </w:tcPr>
          <w:p w:rsidR="00615773" w:rsidRPr="00020987" w:rsidRDefault="00615773" w:rsidP="00564F8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Single-blinded placebo taken for 2 weeks followed by either double-blinded nebivolol (5 mg/day for 2 weeks, then 10 mg/day for 4 weeks) or HCTZ (12.5 mg/day for 2 weeks, then 25 mg/day for 4 weeks). Then medications crossed over and treated with other medication for additional 6 weeks.</w:t>
            </w:r>
          </w:p>
        </w:tc>
        <w:tc>
          <w:tcPr>
            <w:tcW w:w="1808" w:type="dxa"/>
            <w:vAlign w:val="center"/>
          </w:tcPr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Dipping Pattern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daytime BP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(systolic &amp; diastolic)</w:t>
            </w:r>
          </w:p>
          <w:p w:rsidR="00615773" w:rsidRPr="00020987" w:rsidRDefault="00615773" w:rsidP="00564F84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20987">
              <w:rPr>
                <w:rFonts w:ascii="Times New Roman" w:eastAsia="Times New Roman" w:hAnsi="Times New Roman"/>
                <w:bCs/>
                <w:sz w:val="20"/>
                <w:szCs w:val="20"/>
              </w:rPr>
              <w:t>• Average nighttime BP:</w:t>
            </w:r>
          </w:p>
        </w:tc>
      </w:tr>
    </w:tbl>
    <w:p w:rsidR="00615773" w:rsidRPr="00020987" w:rsidRDefault="00615773" w:rsidP="00615773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46505" w:rsidRPr="00020987" w:rsidRDefault="00346505" w:rsidP="00346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020987">
        <w:rPr>
          <w:rFonts w:ascii="Times New Roman" w:eastAsiaTheme="minorHAnsi" w:hAnsi="Times New Roman"/>
          <w:color w:val="000000"/>
          <w:sz w:val="20"/>
          <w:szCs w:val="20"/>
        </w:rPr>
        <w:t xml:space="preserve">*N: Number of Participants; ABP: Ambulatory Blood Pressure; TSP: Trigger Systolic Pressure; ER: Extended Release; AHI: Apnea-Hypopnea Index; CPAP: Continuous Positive Airway Pressure; HCTZ: Hydrochlorothiazide. </w:t>
      </w:r>
    </w:p>
    <w:p w:rsidR="0071285E" w:rsidRPr="00020987" w:rsidRDefault="00020987">
      <w:pPr>
        <w:rPr>
          <w:rFonts w:ascii="Times New Roman" w:hAnsi="Times New Roman"/>
          <w:sz w:val="20"/>
          <w:szCs w:val="20"/>
        </w:rPr>
      </w:pPr>
    </w:p>
    <w:sectPr w:rsidR="0071285E" w:rsidRPr="00020987" w:rsidSect="0002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6DD1"/>
    <w:multiLevelType w:val="hybridMultilevel"/>
    <w:tmpl w:val="93689E1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15773"/>
    <w:rsid w:val="00020987"/>
    <w:rsid w:val="0002740A"/>
    <w:rsid w:val="00346505"/>
    <w:rsid w:val="00417425"/>
    <w:rsid w:val="00544804"/>
    <w:rsid w:val="00615773"/>
    <w:rsid w:val="00731CA1"/>
    <w:rsid w:val="009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7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Swathi</cp:lastModifiedBy>
  <cp:revision>5</cp:revision>
  <dcterms:created xsi:type="dcterms:W3CDTF">2019-08-02T03:57:00Z</dcterms:created>
  <dcterms:modified xsi:type="dcterms:W3CDTF">2019-08-16T07:23:00Z</dcterms:modified>
</cp:coreProperties>
</file>