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6B" w:rsidRPr="00EC5F3B" w:rsidRDefault="00BB4D6B" w:rsidP="00BB4D6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C5F3B">
        <w:rPr>
          <w:rFonts w:ascii="Times New Roman" w:hAnsi="Times New Roman"/>
          <w:b/>
          <w:bCs/>
          <w:sz w:val="20"/>
          <w:szCs w:val="20"/>
          <w:lang w:val="en-US"/>
        </w:rPr>
        <w:t>Table 3: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Results of liver and hormone laboratory tests of patients.</w:t>
      </w:r>
    </w:p>
    <w:p w:rsidR="00BB4D6B" w:rsidRPr="00100F43" w:rsidRDefault="00BB4D6B" w:rsidP="00BB4D6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5398770" cy="71882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B4D6B" w:rsidRPr="00EC5F3B" w:rsidRDefault="00BB4D6B" w:rsidP="00BB4D6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C5F3B">
        <w:rPr>
          <w:rFonts w:ascii="Times New Roman" w:hAnsi="Times New Roman"/>
          <w:bCs/>
          <w:sz w:val="20"/>
          <w:szCs w:val="20"/>
          <w:lang w:val="en-US"/>
        </w:rPr>
        <w:t>AP: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Alkaline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Phosphatase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E2: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Estradiol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FSH: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Follicle-Stimulating Hormone;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FT:</w:t>
      </w:r>
      <w:r>
        <w:rPr>
          <w:rFonts w:ascii="Times New Roman" w:hAnsi="Times New Roman"/>
          <w:sz w:val="20"/>
          <w:szCs w:val="20"/>
          <w:lang w:val="en-US"/>
        </w:rPr>
        <w:t xml:space="preserve"> Free Testosterone; </w:t>
      </w:r>
      <w:proofErr w:type="spellStart"/>
      <w:r w:rsidRPr="00EC5F3B">
        <w:rPr>
          <w:rFonts w:ascii="Times New Roman" w:hAnsi="Times New Roman"/>
          <w:color w:val="FF0000"/>
          <w:sz w:val="20"/>
          <w:szCs w:val="20"/>
          <w:lang w:val="en-US"/>
        </w:rPr>
        <w:t>γ</w:t>
      </w:r>
      <w:r w:rsidRPr="00EC5F3B">
        <w:rPr>
          <w:rFonts w:ascii="Times New Roman" w:hAnsi="Times New Roman"/>
          <w:sz w:val="20"/>
          <w:szCs w:val="20"/>
          <w:lang w:val="en-US"/>
        </w:rPr>
        <w:t>GT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: Gamma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Glutamyl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Transferase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LH: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Luteinizing Hormone;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M: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Mean Average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Patients;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N0: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Before Treatment;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N1: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After </w:t>
      </w:r>
      <w:r w:rsidRPr="00EC5F3B">
        <w:rPr>
          <w:rFonts w:ascii="Times New Roman" w:hAnsi="Times New Roman"/>
          <w:sz w:val="20"/>
          <w:szCs w:val="20"/>
          <w:lang w:val="en-US"/>
        </w:rPr>
        <w:lastRenderedPageBreak/>
        <w:t xml:space="preserve">Treatment;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SHBG: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Sex Hormone Binding Globulin;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SGOT: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Glutamic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Oxaloacetic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Transaminase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SGPT: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Glutamic-Pyruvic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5F3B">
        <w:rPr>
          <w:rFonts w:ascii="Times New Roman" w:hAnsi="Times New Roman"/>
          <w:sz w:val="20"/>
          <w:szCs w:val="20"/>
          <w:lang w:val="en-US"/>
        </w:rPr>
        <w:t>Transaminase</w:t>
      </w:r>
      <w:proofErr w:type="spellEnd"/>
      <w:r w:rsidRPr="00EC5F3B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EC5F3B">
        <w:rPr>
          <w:rFonts w:ascii="Times New Roman" w:hAnsi="Times New Roman"/>
          <w:bCs/>
          <w:sz w:val="20"/>
          <w:szCs w:val="20"/>
          <w:lang w:val="en-US"/>
        </w:rPr>
        <w:t>TT:</w:t>
      </w:r>
      <w:r w:rsidRPr="00EC5F3B">
        <w:rPr>
          <w:rFonts w:ascii="Times New Roman" w:hAnsi="Times New Roman"/>
          <w:sz w:val="20"/>
          <w:szCs w:val="20"/>
          <w:lang w:val="en-US"/>
        </w:rPr>
        <w:t xml:space="preserve"> Total Testosterone</w:t>
      </w:r>
    </w:p>
    <w:p w:rsidR="00D24E4D" w:rsidRDefault="00D24E4D"/>
    <w:sectPr w:rsidR="00D24E4D" w:rsidSect="00D24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4D6B"/>
    <w:rsid w:val="00BB4D6B"/>
    <w:rsid w:val="00D2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6B"/>
    <w:pPr>
      <w:spacing w:after="160" w:line="259" w:lineRule="auto"/>
    </w:pPr>
    <w:rPr>
      <w:rFonts w:ascii="Calibri" w:eastAsia="Calibri" w:hAnsi="Calibri" w:cs="Times New Roman"/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B"/>
    <w:rPr>
      <w:rFonts w:ascii="Tahoma" w:eastAsia="Calibri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2024-01-02T15:54:00Z</dcterms:created>
  <dcterms:modified xsi:type="dcterms:W3CDTF">2024-01-02T15:55:00Z</dcterms:modified>
</cp:coreProperties>
</file>