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E1" w:rsidRPr="002278A4" w:rsidRDefault="008207E1" w:rsidP="008207E1">
      <w:pPr>
        <w:pStyle w:val="NormalWeb"/>
        <w:spacing w:before="0" w:beforeAutospacing="0" w:after="0" w:afterAutospacing="0" w:line="360" w:lineRule="auto"/>
        <w:jc w:val="both"/>
        <w:rPr>
          <w:color w:val="111111"/>
          <w:sz w:val="20"/>
          <w:szCs w:val="20"/>
        </w:rPr>
      </w:pPr>
      <w:r w:rsidRPr="002278A4">
        <w:rPr>
          <w:b/>
          <w:color w:val="111111"/>
          <w:sz w:val="20"/>
          <w:szCs w:val="20"/>
        </w:rPr>
        <w:t>Table 1:</w:t>
      </w:r>
      <w:r>
        <w:rPr>
          <w:color w:val="111111"/>
          <w:sz w:val="20"/>
          <w:szCs w:val="20"/>
        </w:rPr>
        <w:t xml:space="preserve"> </w:t>
      </w:r>
      <w:r w:rsidRPr="002278A4">
        <w:rPr>
          <w:color w:val="000000"/>
          <w:sz w:val="20"/>
          <w:szCs w:val="20"/>
        </w:rPr>
        <w:t>Clinical and laboratory characteristics of patients</w:t>
      </w:r>
      <w:r>
        <w:rPr>
          <w:color w:val="000000"/>
          <w:sz w:val="20"/>
          <w:szCs w:val="20"/>
        </w:rPr>
        <w:t>.</w:t>
      </w:r>
    </w:p>
    <w:p w:rsidR="00F2798C" w:rsidRDefault="00F2798C"/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2243"/>
        <w:gridCol w:w="1479"/>
        <w:gridCol w:w="1624"/>
        <w:gridCol w:w="1144"/>
      </w:tblGrid>
      <w:tr w:rsidR="008207E1" w:rsidRPr="002278A4" w:rsidTr="007658AB">
        <w:tc>
          <w:tcPr>
            <w:tcW w:w="3150" w:type="dxa"/>
          </w:tcPr>
          <w:p w:rsidR="008207E1" w:rsidRPr="005260D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8207E1" w:rsidRPr="005260D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Primary HT (n = 40)</w:t>
            </w:r>
          </w:p>
        </w:tc>
        <w:tc>
          <w:tcPr>
            <w:tcW w:w="1479" w:type="dxa"/>
          </w:tcPr>
          <w:p w:rsidR="008207E1" w:rsidRPr="005260D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WCH (n = 40)</w:t>
            </w:r>
          </w:p>
        </w:tc>
        <w:tc>
          <w:tcPr>
            <w:tcW w:w="1624" w:type="dxa"/>
          </w:tcPr>
          <w:p w:rsidR="008207E1" w:rsidRPr="005260D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Control (n = 40)</w:t>
            </w:r>
          </w:p>
        </w:tc>
        <w:tc>
          <w:tcPr>
            <w:tcW w:w="1144" w:type="dxa"/>
          </w:tcPr>
          <w:p w:rsidR="008207E1" w:rsidRPr="005260D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6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Age at diagnosis, year (s)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13.4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14.4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14.3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0.137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Male sex, no. (%) 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22 (55%)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26 (65%)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17 (56.7%)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0.636</w:t>
            </w:r>
          </w:p>
        </w:tc>
      </w:tr>
      <w:tr w:rsidR="008207E1" w:rsidRPr="002278A4" w:rsidTr="007658AB">
        <w:trPr>
          <w:trHeight w:val="717"/>
        </w:trPr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BMI (kg/m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sym w:font="Symbol" w:char="F032"/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24.1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23.3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22.8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0.317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BMI-SDS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0.88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0.83</w:t>
            </w:r>
            <w:r w:rsidR="0028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="00284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0.77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0.249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sz w:val="20"/>
                <w:szCs w:val="20"/>
              </w:rPr>
              <w:t>BMI ≥ 95</w:t>
            </w:r>
            <w:r w:rsidRPr="00284833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278A4">
              <w:rPr>
                <w:rFonts w:ascii="Times New Roman" w:hAnsi="Times New Roman"/>
                <w:sz w:val="20"/>
                <w:szCs w:val="20"/>
              </w:rPr>
              <w:t xml:space="preserve"> percentile (%)</w:t>
            </w:r>
          </w:p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0.917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Family history of hypertension, no. (%)</w:t>
            </w:r>
            <w:r w:rsidRPr="002278A4">
              <w:rPr>
                <w:rFonts w:ascii="Times New Roman" w:hAnsi="Times New Roman"/>
                <w:color w:val="000000"/>
                <w:position w:val="8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21 (52.5%)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13 (32.5%)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 (6.6%)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0.201</w:t>
            </w:r>
          </w:p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0.014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eGFR (ml/min/1.73 m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106.6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107.8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105.5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0.629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Uric acid (mg/dl)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0.208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Casual systolic BP (mm Hg)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135.3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134.5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105.8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8.61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0.907</w:t>
            </w:r>
          </w:p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8207E1" w:rsidRPr="002278A4" w:rsidTr="007658AB">
        <w:tc>
          <w:tcPr>
            <w:tcW w:w="3150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Casual diastolic BP (mm Hg)</w:t>
            </w:r>
          </w:p>
        </w:tc>
        <w:tc>
          <w:tcPr>
            <w:tcW w:w="2243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84.0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479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101010"/>
                <w:sz w:val="20"/>
                <w:szCs w:val="20"/>
              </w:rPr>
              <w:t>80.9 ± 5.12</w:t>
            </w:r>
          </w:p>
        </w:tc>
        <w:tc>
          <w:tcPr>
            <w:tcW w:w="162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101010"/>
                <w:sz w:val="20"/>
                <w:szCs w:val="20"/>
              </w:rPr>
              <w:t>67.8</w:t>
            </w:r>
            <w:r>
              <w:rPr>
                <w:rFonts w:ascii="Times New Roman" w:hAnsi="Times New Roman"/>
                <w:color w:val="101010"/>
                <w:sz w:val="20"/>
                <w:szCs w:val="20"/>
              </w:rPr>
              <w:t xml:space="preserve"> </w:t>
            </w:r>
            <w:r w:rsidRPr="002278A4">
              <w:rPr>
                <w:rFonts w:ascii="Times New Roman" w:hAnsi="Times New Roman"/>
                <w:color w:val="101010"/>
                <w:sz w:val="20"/>
                <w:szCs w:val="20"/>
              </w:rPr>
              <w:t>± 7.62</w:t>
            </w:r>
          </w:p>
        </w:tc>
        <w:tc>
          <w:tcPr>
            <w:tcW w:w="1144" w:type="dxa"/>
          </w:tcPr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0.930</w:t>
            </w:r>
          </w:p>
          <w:p w:rsidR="008207E1" w:rsidRPr="002278A4" w:rsidRDefault="008207E1" w:rsidP="00765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2278A4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</w:t>
            </w:r>
            <w:r w:rsidRPr="002278A4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</w:tbl>
    <w:p w:rsidR="008207E1" w:rsidRDefault="008207E1"/>
    <w:p w:rsidR="008207E1" w:rsidRPr="008A1545" w:rsidRDefault="008207E1" w:rsidP="008207E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1545">
        <w:rPr>
          <w:rFonts w:ascii="Times New Roman" w:hAnsi="Times New Roman"/>
          <w:sz w:val="20"/>
          <w:szCs w:val="20"/>
        </w:rPr>
        <w:t>p</w:t>
      </w:r>
      <w:r w:rsidRPr="008A1545">
        <w:rPr>
          <w:rFonts w:ascii="Times New Roman" w:hAnsi="Times New Roman"/>
          <w:color w:val="FF0000"/>
          <w:sz w:val="20"/>
          <w:szCs w:val="20"/>
          <w:vertAlign w:val="superscript"/>
        </w:rPr>
        <w:t>a</w:t>
      </w:r>
      <w:r w:rsidRPr="008A1545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W</w:t>
      </w:r>
      <w:r w:rsidRPr="008A1545">
        <w:rPr>
          <w:rFonts w:ascii="Times New Roman" w:hAnsi="Times New Roman"/>
          <w:sz w:val="20"/>
          <w:szCs w:val="20"/>
        </w:rPr>
        <w:t>hite coat hypertension-primary hypertension group; p</w:t>
      </w:r>
      <w:r w:rsidRPr="008A1545">
        <w:rPr>
          <w:rFonts w:ascii="Times New Roman" w:hAnsi="Times New Roman"/>
          <w:color w:val="FF0000"/>
          <w:sz w:val="20"/>
          <w:szCs w:val="20"/>
          <w:vertAlign w:val="superscript"/>
        </w:rPr>
        <w:t>b</w:t>
      </w:r>
      <w:r w:rsidRPr="008A1545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W</w:t>
      </w:r>
      <w:r w:rsidRPr="008A1545">
        <w:rPr>
          <w:rFonts w:ascii="Times New Roman" w:hAnsi="Times New Roman"/>
          <w:sz w:val="20"/>
          <w:szCs w:val="20"/>
        </w:rPr>
        <w:t>hite coat hypertension-control group.</w:t>
      </w:r>
    </w:p>
    <w:p w:rsidR="008207E1" w:rsidRPr="002278A4" w:rsidRDefault="008207E1" w:rsidP="008207E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A1545">
        <w:rPr>
          <w:rFonts w:ascii="Times New Roman" w:hAnsi="Times New Roman"/>
          <w:sz w:val="20"/>
          <w:szCs w:val="20"/>
        </w:rPr>
        <w:t>HT</w:t>
      </w:r>
      <w:r>
        <w:rPr>
          <w:rFonts w:ascii="Times New Roman" w:hAnsi="Times New Roman"/>
          <w:sz w:val="20"/>
          <w:szCs w:val="20"/>
        </w:rPr>
        <w:t>:</w:t>
      </w:r>
      <w:r w:rsidRPr="008A154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 w:rsidRPr="008A1545">
        <w:rPr>
          <w:rFonts w:ascii="Times New Roman" w:hAnsi="Times New Roman"/>
          <w:sz w:val="20"/>
          <w:szCs w:val="20"/>
        </w:rPr>
        <w:t>ypertension</w:t>
      </w:r>
      <w:r>
        <w:rPr>
          <w:rFonts w:ascii="Times New Roman" w:hAnsi="Times New Roman"/>
          <w:sz w:val="20"/>
          <w:szCs w:val="20"/>
        </w:rPr>
        <w:t>;</w:t>
      </w:r>
      <w:r w:rsidRPr="008A1545">
        <w:rPr>
          <w:rFonts w:ascii="Times New Roman" w:hAnsi="Times New Roman"/>
          <w:sz w:val="20"/>
          <w:szCs w:val="20"/>
        </w:rPr>
        <w:t xml:space="preserve"> WCH</w:t>
      </w:r>
      <w:r>
        <w:rPr>
          <w:rFonts w:ascii="Times New Roman" w:hAnsi="Times New Roman"/>
          <w:sz w:val="20"/>
          <w:szCs w:val="20"/>
        </w:rPr>
        <w:t>:</w:t>
      </w:r>
      <w:r w:rsidRPr="008A1545">
        <w:rPr>
          <w:rFonts w:ascii="Times New Roman" w:hAnsi="Times New Roman"/>
          <w:sz w:val="20"/>
          <w:szCs w:val="20"/>
        </w:rPr>
        <w:t xml:space="preserve"> White Coat Hypertension</w:t>
      </w:r>
      <w:r>
        <w:rPr>
          <w:rFonts w:ascii="Times New Roman" w:hAnsi="Times New Roman"/>
          <w:sz w:val="20"/>
          <w:szCs w:val="20"/>
        </w:rPr>
        <w:t>;</w:t>
      </w:r>
      <w:r w:rsidRPr="008A1545">
        <w:rPr>
          <w:rFonts w:ascii="Times New Roman" w:hAnsi="Times New Roman"/>
          <w:sz w:val="20"/>
          <w:szCs w:val="20"/>
        </w:rPr>
        <w:t xml:space="preserve"> BMI</w:t>
      </w:r>
      <w:r>
        <w:rPr>
          <w:rFonts w:ascii="Times New Roman" w:hAnsi="Times New Roman"/>
          <w:sz w:val="20"/>
          <w:szCs w:val="20"/>
        </w:rPr>
        <w:t>:</w:t>
      </w:r>
      <w:r w:rsidRPr="008A1545">
        <w:rPr>
          <w:rFonts w:ascii="Times New Roman" w:hAnsi="Times New Roman"/>
          <w:sz w:val="20"/>
          <w:szCs w:val="20"/>
        </w:rPr>
        <w:t xml:space="preserve"> Body Mass Index</w:t>
      </w:r>
      <w:r>
        <w:rPr>
          <w:rFonts w:ascii="Times New Roman" w:hAnsi="Times New Roman"/>
          <w:sz w:val="20"/>
          <w:szCs w:val="20"/>
        </w:rPr>
        <w:t>;</w:t>
      </w:r>
      <w:r w:rsidRPr="008A1545">
        <w:rPr>
          <w:rFonts w:ascii="Times New Roman" w:hAnsi="Times New Roman"/>
          <w:sz w:val="20"/>
          <w:szCs w:val="20"/>
        </w:rPr>
        <w:t xml:space="preserve"> SDS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A1545">
        <w:rPr>
          <w:rFonts w:ascii="Times New Roman" w:hAnsi="Times New Roman"/>
          <w:sz w:val="20"/>
          <w:szCs w:val="20"/>
        </w:rPr>
        <w:t>Standard Deviation Score</w:t>
      </w:r>
      <w:r>
        <w:rPr>
          <w:rFonts w:ascii="Times New Roman" w:hAnsi="Times New Roman"/>
          <w:sz w:val="20"/>
          <w:szCs w:val="20"/>
        </w:rPr>
        <w:t xml:space="preserve">; </w:t>
      </w:r>
      <w:r w:rsidRPr="008A1545">
        <w:rPr>
          <w:rFonts w:ascii="Times New Roman" w:hAnsi="Times New Roman"/>
          <w:sz w:val="20"/>
          <w:szCs w:val="20"/>
        </w:rPr>
        <w:t>eGFR</w:t>
      </w:r>
      <w:r>
        <w:rPr>
          <w:rFonts w:ascii="Times New Roman" w:hAnsi="Times New Roman"/>
          <w:sz w:val="20"/>
          <w:szCs w:val="20"/>
        </w:rPr>
        <w:t>:</w:t>
      </w:r>
      <w:r w:rsidRPr="008A1545">
        <w:rPr>
          <w:rFonts w:ascii="Times New Roman" w:hAnsi="Times New Roman"/>
          <w:sz w:val="20"/>
          <w:szCs w:val="20"/>
        </w:rPr>
        <w:t xml:space="preserve"> Estimated Glomerular Filtration Rate</w:t>
      </w:r>
      <w:r>
        <w:rPr>
          <w:rFonts w:ascii="Times New Roman" w:hAnsi="Times New Roman"/>
          <w:sz w:val="20"/>
          <w:szCs w:val="20"/>
        </w:rPr>
        <w:t xml:space="preserve">; </w:t>
      </w:r>
      <w:r w:rsidRPr="008A1545">
        <w:rPr>
          <w:rFonts w:ascii="Times New Roman" w:hAnsi="Times New Roman"/>
          <w:sz w:val="20"/>
          <w:szCs w:val="20"/>
        </w:rPr>
        <w:t>BP</w:t>
      </w:r>
      <w:r>
        <w:rPr>
          <w:rFonts w:ascii="Times New Roman" w:hAnsi="Times New Roman"/>
          <w:sz w:val="20"/>
          <w:szCs w:val="20"/>
        </w:rPr>
        <w:t>: Blood Pressure.</w:t>
      </w:r>
    </w:p>
    <w:p w:rsidR="008207E1" w:rsidRDefault="008207E1"/>
    <w:sectPr w:rsidR="008207E1" w:rsidSect="00F27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207E1"/>
    <w:rsid w:val="00284833"/>
    <w:rsid w:val="005852C6"/>
    <w:rsid w:val="008207E1"/>
    <w:rsid w:val="00F2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HP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2</cp:revision>
  <dcterms:created xsi:type="dcterms:W3CDTF">2019-10-12T08:39:00Z</dcterms:created>
  <dcterms:modified xsi:type="dcterms:W3CDTF">2019-10-17T06:12:00Z</dcterms:modified>
</cp:coreProperties>
</file>