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12" w:rsidRPr="002D5BD2" w:rsidRDefault="00923612" w:rsidP="00923612">
      <w:pPr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D5BD2">
        <w:rPr>
          <w:rFonts w:ascii="Times New Roman" w:hAnsi="Times New Roman"/>
          <w:b/>
          <w:color w:val="000000"/>
          <w:sz w:val="20"/>
          <w:szCs w:val="20"/>
        </w:rPr>
        <w:t>Table 2</w:t>
      </w:r>
      <w:r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2D5BD2">
        <w:rPr>
          <w:rFonts w:ascii="Times New Roman" w:hAnsi="Times New Roman"/>
          <w:color w:val="000000"/>
          <w:sz w:val="20"/>
          <w:szCs w:val="20"/>
        </w:rPr>
        <w:t xml:space="preserve"> Capturing agents that have been used to capture mercury (II) ions.</w:t>
      </w:r>
      <w:proofErr w:type="gramEnd"/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4431"/>
        <w:gridCol w:w="1386"/>
      </w:tblGrid>
      <w:tr w:rsidR="00923612" w:rsidRPr="002D5BD2" w:rsidTr="006C5C0C">
        <w:tc>
          <w:tcPr>
            <w:tcW w:w="2121" w:type="dxa"/>
          </w:tcPr>
          <w:p w:rsidR="00923612" w:rsidRPr="008518C3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8518C3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431" w:type="dxa"/>
          </w:tcPr>
          <w:p w:rsidR="00923612" w:rsidRPr="008518C3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8518C3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>Structures</w:t>
            </w:r>
          </w:p>
        </w:tc>
        <w:tc>
          <w:tcPr>
            <w:tcW w:w="1386" w:type="dxa"/>
          </w:tcPr>
          <w:p w:rsidR="00923612" w:rsidRPr="008518C3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8518C3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>References</w:t>
            </w:r>
          </w:p>
        </w:tc>
      </w:tr>
      <w:tr w:rsidR="00923612" w:rsidRPr="002D5BD2" w:rsidTr="006C5C0C">
        <w:tc>
          <w:tcPr>
            <w:tcW w:w="212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Terphenyl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-based </w:t>
            </w:r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reversible </w:t>
            </w:r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receptor with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Rhodamine</w:t>
            </w:r>
            <w:proofErr w:type="spellEnd"/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150110" cy="1720215"/>
                  <wp:effectExtent l="19050" t="0" r="254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72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</w:pPr>
            <w:hyperlink r:id="rId5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[83]</w:t>
              </w:r>
            </w:hyperlink>
            <w:r w:rsidR="00923612" w:rsidRPr="008518C3"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23612" w:rsidRPr="002D5BD2" w:rsidTr="006C5C0C">
        <w:tc>
          <w:tcPr>
            <w:tcW w:w="212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Rhodamine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-based molecular </w:t>
            </w:r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probe</w:t>
            </w: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14525" cy="991235"/>
                  <wp:effectExtent l="19050" t="0" r="9525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991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</w:pPr>
            <w:hyperlink r:id="rId7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[84]</w:t>
              </w:r>
            </w:hyperlink>
            <w:r w:rsidR="00923612" w:rsidRPr="008518C3"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23612" w:rsidRPr="002D5BD2" w:rsidTr="006C5C0C">
        <w:tc>
          <w:tcPr>
            <w:tcW w:w="212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Rhodamine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-based using the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spirolactam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ring opening</w:t>
            </w: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507490" cy="1095375"/>
                  <wp:effectExtent l="19050" t="0" r="0" b="0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</w:pPr>
            <w:hyperlink r:id="rId9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[85]</w:t>
              </w:r>
            </w:hyperlink>
            <w:r w:rsidR="00923612" w:rsidRPr="008518C3"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923612" w:rsidRPr="002D5BD2" w:rsidTr="006C5C0C">
        <w:tc>
          <w:tcPr>
            <w:tcW w:w="212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Rhodami</w:t>
            </w:r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ne</w:t>
            </w:r>
            <w:proofErr w:type="spellEnd"/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B with </w:t>
            </w:r>
            <w:proofErr w:type="spellStart"/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ferrocene</w:t>
            </w:r>
            <w:proofErr w:type="spellEnd"/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substituent</w:t>
            </w: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10080" cy="138493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0" cy="1384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</w:pPr>
            <w:hyperlink r:id="rId11" w:history="1">
              <w:r w:rsidR="00D00C3D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[86]</w:t>
              </w:r>
            </w:hyperlink>
          </w:p>
        </w:tc>
      </w:tr>
      <w:tr w:rsidR="00923612" w:rsidRPr="002D5BD2" w:rsidTr="006C5C0C">
        <w:tc>
          <w:tcPr>
            <w:tcW w:w="2121" w:type="dxa"/>
            <w:shd w:val="clear" w:color="auto" w:fill="auto"/>
          </w:tcPr>
          <w:p w:rsidR="00923612" w:rsidRPr="002D5BD2" w:rsidRDefault="004457B8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Calix</w:t>
            </w:r>
            <w:proofErr w:type="spellEnd"/>
            <w: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[4]</w:t>
            </w:r>
            <w:proofErr w:type="spellStart"/>
            <w:r w:rsidR="00923612"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arene</w:t>
            </w:r>
            <w:proofErr w:type="spellEnd"/>
            <w:r w:rsidR="00923612"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-based receptor</w:t>
            </w: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26640" cy="1788160"/>
                  <wp:effectExtent l="1905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178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</w:rPr>
            </w:pPr>
            <w:hyperlink r:id="rId13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[87]</w:t>
              </w:r>
            </w:hyperlink>
          </w:p>
        </w:tc>
      </w:tr>
      <w:tr w:rsidR="00923612" w:rsidRPr="002D5BD2" w:rsidTr="006C5C0C">
        <w:tc>
          <w:tcPr>
            <w:tcW w:w="2121" w:type="dxa"/>
            <w:shd w:val="clear" w:color="auto" w:fill="auto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lastRenderedPageBreak/>
              <w:t>Thioether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+ aniline-derived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ligand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framework l</w:t>
            </w:r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inked to a </w:t>
            </w:r>
            <w:proofErr w:type="spellStart"/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fluorescein</w:t>
            </w:r>
            <w:proofErr w:type="spellEnd"/>
            <w:r w:rsidR="004457B8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platform</w:t>
            </w: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4F9FD"/>
              </w:rPr>
            </w:pP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828800" cy="1779270"/>
                  <wp:effectExtent l="19050" t="0" r="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7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  <w:shd w:val="clear" w:color="auto" w:fill="FFFFFF"/>
              </w:rPr>
            </w:pPr>
            <w:hyperlink r:id="rId15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[88]</w:t>
              </w:r>
            </w:hyperlink>
          </w:p>
        </w:tc>
      </w:tr>
      <w:tr w:rsidR="00923612" w:rsidRPr="002D5BD2" w:rsidTr="006C5C0C">
        <w:tc>
          <w:tcPr>
            <w:tcW w:w="2121" w:type="dxa"/>
            <w:shd w:val="clear" w:color="auto" w:fill="auto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Mercuryfluor-1 (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flourescent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probe)</w:t>
            </w: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4F9FD"/>
              </w:rPr>
            </w:pP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4F9FD"/>
              </w:rPr>
            </w:pPr>
          </w:p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4F9FD"/>
              </w:rPr>
            </w:pP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737995" cy="115887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  <w:shd w:val="clear" w:color="auto" w:fill="FFFFFF"/>
              </w:rPr>
            </w:pPr>
            <w:hyperlink r:id="rId17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[89]</w:t>
              </w:r>
            </w:hyperlink>
          </w:p>
        </w:tc>
      </w:tr>
      <w:tr w:rsidR="00923612" w:rsidRPr="002D5BD2" w:rsidTr="006C5C0C">
        <w:tc>
          <w:tcPr>
            <w:tcW w:w="2121" w:type="dxa"/>
            <w:shd w:val="clear" w:color="auto" w:fill="auto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4F9FD"/>
              </w:rPr>
            </w:pPr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>N,N’-dibenzyl-1,4,10,13-tetraraoxa-7,16-diazacyclo-octadecane</w:t>
            </w:r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941830" cy="1000125"/>
                  <wp:effectExtent l="19050" t="0" r="1270" b="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  <w:shd w:val="clear" w:color="auto" w:fill="FFFFFF"/>
              </w:rPr>
            </w:pPr>
            <w:hyperlink r:id="rId19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[90]</w:t>
              </w:r>
            </w:hyperlink>
          </w:p>
        </w:tc>
      </w:tr>
      <w:tr w:rsidR="00923612" w:rsidRPr="002D5BD2" w:rsidTr="006C5C0C">
        <w:tc>
          <w:tcPr>
            <w:tcW w:w="2121" w:type="dxa"/>
            <w:shd w:val="clear" w:color="auto" w:fill="auto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Terphenyl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-based reversible receptor with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pyrene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quinoline</w:t>
            </w:r>
            <w:proofErr w:type="spellEnd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 as the </w:t>
            </w:r>
            <w:proofErr w:type="spellStart"/>
            <w:r w:rsidRPr="002D5B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>fluorophores</w:t>
            </w:r>
            <w:proofErr w:type="spellEnd"/>
          </w:p>
        </w:tc>
        <w:tc>
          <w:tcPr>
            <w:tcW w:w="4431" w:type="dxa"/>
          </w:tcPr>
          <w:p w:rsidR="00923612" w:rsidRPr="002D5BD2" w:rsidRDefault="00923612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304415" cy="1620520"/>
                  <wp:effectExtent l="19050" t="0" r="635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162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vAlign w:val="center"/>
          </w:tcPr>
          <w:p w:rsidR="00923612" w:rsidRPr="008518C3" w:rsidRDefault="00D83F7A" w:rsidP="006C5C0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SimSun" w:hAnsi="Times New Roman"/>
                <w:iCs/>
                <w:color w:val="FF0000"/>
                <w:sz w:val="20"/>
                <w:szCs w:val="20"/>
                <w:shd w:val="clear" w:color="auto" w:fill="FFFFFF"/>
              </w:rPr>
            </w:pPr>
            <w:hyperlink r:id="rId21" w:history="1">
              <w:r w:rsidR="00923612" w:rsidRPr="00D00C3D">
                <w:rPr>
                  <w:rStyle w:val="Hyperlink"/>
                  <w:rFonts w:ascii="Times New Roman" w:eastAsia="SimSun" w:hAnsi="Times New Roman"/>
                  <w:iCs/>
                  <w:sz w:val="20"/>
                  <w:szCs w:val="20"/>
                  <w:shd w:val="clear" w:color="auto" w:fill="FFFFFF"/>
                </w:rPr>
                <w:t>[91]</w:t>
              </w:r>
            </w:hyperlink>
          </w:p>
        </w:tc>
      </w:tr>
    </w:tbl>
    <w:p w:rsidR="00622069" w:rsidRDefault="00622069"/>
    <w:sectPr w:rsidR="00622069" w:rsidSect="00622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923612"/>
    <w:rsid w:val="004457B8"/>
    <w:rsid w:val="004F780A"/>
    <w:rsid w:val="00622069"/>
    <w:rsid w:val="00923612"/>
    <w:rsid w:val="00D00C3D"/>
    <w:rsid w:val="00D8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6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1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ncbi.nlm.nih.gov/pubmed/17824650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www.ncbi.nlm.nih.gov/pubmed/19877709" TargetMode="External"/><Relationship Id="rId7" Type="http://schemas.openxmlformats.org/officeDocument/2006/relationships/hyperlink" Target="https://www.ncbi.nlm.nih.gov/pubmed/17061899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ncbi.nlm.nih.gov/pubmed/1628728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%5b86%5d" TargetMode="External"/><Relationship Id="rId5" Type="http://schemas.openxmlformats.org/officeDocument/2006/relationships/hyperlink" Target="https://www.ncbi.nlm.nih.gov/pubmed/17061899" TargetMode="External"/><Relationship Id="rId15" Type="http://schemas.openxmlformats.org/officeDocument/2006/relationships/hyperlink" Target="https://www.ncbi.nlm.nih.gov/pubmed/14624563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nopr.niscair.res.in/handle/123456789/1819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ncbi.nlm.nih.gov/pubmed/18648672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Microsoft</cp:lastModifiedBy>
  <cp:revision>3</cp:revision>
  <dcterms:created xsi:type="dcterms:W3CDTF">2018-04-13T07:26:00Z</dcterms:created>
  <dcterms:modified xsi:type="dcterms:W3CDTF">2018-04-30T11:41:00Z</dcterms:modified>
</cp:coreProperties>
</file>