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D3" w:rsidRPr="003859D3" w:rsidRDefault="003859D3" w:rsidP="003859D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859D3">
        <w:rPr>
          <w:rFonts w:ascii="Times New Roman" w:hAnsi="Times New Roman"/>
          <w:b/>
          <w:bCs/>
          <w:color w:val="000000" w:themeColor="text1"/>
          <w:sz w:val="20"/>
          <w:szCs w:val="20"/>
        </w:rPr>
        <w:t>Table 4:</w:t>
      </w:r>
      <w:r w:rsidRPr="003859D3">
        <w:rPr>
          <w:rFonts w:ascii="Times New Roman" w:hAnsi="Times New Roman"/>
          <w:color w:val="000000" w:themeColor="text1"/>
          <w:sz w:val="20"/>
          <w:szCs w:val="20"/>
        </w:rPr>
        <w:t xml:space="preserve"> Mixed measures three-way Anova effects.</w:t>
      </w:r>
    </w:p>
    <w:tbl>
      <w:tblPr>
        <w:tblW w:w="12240" w:type="dxa"/>
        <w:tblInd w:w="113" w:type="dxa"/>
        <w:tblLook w:val="04A0"/>
      </w:tblPr>
      <w:tblGrid>
        <w:gridCol w:w="1247"/>
        <w:gridCol w:w="1532"/>
        <w:gridCol w:w="1593"/>
        <w:gridCol w:w="1449"/>
        <w:gridCol w:w="1611"/>
        <w:gridCol w:w="1521"/>
        <w:gridCol w:w="1611"/>
        <w:gridCol w:w="1676"/>
      </w:tblGrid>
      <w:tr w:rsidR="003859D3" w:rsidRPr="003859D3" w:rsidTr="003859D3">
        <w:trPr>
          <w:trHeight w:val="809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Cognitive assessments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Intervention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Intervention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group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Time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* 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Intervention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time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Intervention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time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group</w:t>
            </w:r>
          </w:p>
        </w:tc>
      </w:tr>
      <w:tr w:rsidR="003859D3" w:rsidRPr="003859D3" w:rsidTr="003859D3">
        <w:trPr>
          <w:trHeight w:val="9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MMSE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18.05, p ≤ 0.001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0.53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0.002, p = 0.964,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1.811, p = 0.180,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2.485, p = 0.135,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1.343, p = 0.275,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0.08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0.100, p = 0.905,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0.269, p = 0.766,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0.02</w:t>
            </w:r>
          </w:p>
        </w:tc>
      </w:tr>
      <w:tr w:rsidR="003859D3" w:rsidRPr="003859D3" w:rsidTr="003859D3">
        <w:trPr>
          <w:trHeight w:val="98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VF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17.176, p ≤ 0.001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= 0.52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0.004, p = 0.950,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0.061, p = 0.941,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0.004, p = 0.950,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0.516, p = 0.602,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1.205, p = 0.313,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1.866, p = 0.171,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0.10</w:t>
            </w:r>
          </w:p>
        </w:tc>
      </w:tr>
      <w:tr w:rsidR="003859D3" w:rsidRPr="003859D3" w:rsidTr="003859D3">
        <w:trPr>
          <w:trHeight w:val="8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HVLT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23.69, p ≤ 0.001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= 0.60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0.001, p = 0.980,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0.094, p = 0.911,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(1,16)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3.59, p = 0.076,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95262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</w:t>
            </w:r>
            <w:r w:rsidR="0095262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3.913, p = 0.030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0.20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0.605, p = 0.552,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(2,32)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1.121, p = 0.338,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=0.07</w:t>
            </w:r>
          </w:p>
        </w:tc>
      </w:tr>
      <w:tr w:rsidR="003859D3" w:rsidRPr="003859D3" w:rsidTr="003859D3">
        <w:trPr>
          <w:trHeight w:val="84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Series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7.893, p = 0.016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= 0.40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2.237, p = 0.161,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0.994, p = 0.385,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1.047, p = 0.326,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3.121, p = 0.062,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2.170, p = 0.136,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= 3.024, p = 0.067, 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= 0.20</w:t>
            </w:r>
          </w:p>
        </w:tc>
      </w:tr>
      <w:tr w:rsidR="003859D3" w:rsidRPr="003859D3" w:rsidTr="003859D3">
        <w:trPr>
          <w:trHeight w:val="791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Odd One Out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= 2.256, p = 0.159, </w:t>
            </w:r>
            <w:r w:rsidRPr="003859D3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= 0.16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0.145, p = 0.710,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1.200, p = 0.319,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0.634, p = 0.441,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1.989, p = 0.159,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1.406, p = 0.265,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0.695, p = 0.509,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0.06</w:t>
            </w:r>
          </w:p>
        </w:tc>
      </w:tr>
      <w:tr w:rsidR="003859D3" w:rsidRPr="003859D3" w:rsidTr="003859D3">
        <w:trPr>
          <w:trHeight w:val="8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Jigsaw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</w:rPr>
              <w:t>(1,7)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= 4.727, p = 0.066,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= 0.40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</w:rPr>
              <w:t>(1,7)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= 0.451, p = 0.523,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(2,14)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= 0.700, p = 0.513,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</w:rPr>
              <w:t>(1,7)</w:t>
            </w:r>
            <w:r w:rsidRPr="003859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= </w:t>
            </w:r>
            <w:r w:rsidR="00A3257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0.451, p = 0.523,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(2,14)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0.247, p = 0.784,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(2,14)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0.162, p = 0.852,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(2,14)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0.585, p = 0.570,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0.08</w:t>
            </w:r>
          </w:p>
        </w:tc>
      </w:tr>
      <w:tr w:rsidR="003859D3" w:rsidRPr="003859D3" w:rsidTr="003859D3">
        <w:trPr>
          <w:trHeight w:val="9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Total CCIID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= 6.87, p = 0.022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859D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3859D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= 0.36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0.480, p = 0.502,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0.525, p = 0.598,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(1,12)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0.524, p = 0.483,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</w:t>
            </w:r>
            <w:r w:rsidR="0095262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1.615, p = 0.220,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0.333, p = 0.720,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= 0.03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D3" w:rsidRPr="003859D3" w:rsidRDefault="003859D3" w:rsidP="00356C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(2,24)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= 3.119, p = 0.062, n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859D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59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= 0.21</w:t>
            </w:r>
          </w:p>
        </w:tc>
      </w:tr>
    </w:tbl>
    <w:p w:rsidR="0071285E" w:rsidRPr="003859D3" w:rsidRDefault="003859D3" w:rsidP="003859D3">
      <w:pPr>
        <w:spacing w:after="0" w:line="360" w:lineRule="auto"/>
        <w:jc w:val="both"/>
        <w:rPr>
          <w:color w:val="000000" w:themeColor="text1"/>
        </w:rPr>
      </w:pPr>
      <w:r w:rsidRPr="003859D3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3859D3">
        <w:rPr>
          <w:rFonts w:ascii="Times New Roman" w:hAnsi="Times New Roman"/>
          <w:color w:val="000000" w:themeColor="text1"/>
          <w:sz w:val="20"/>
          <w:szCs w:val="20"/>
        </w:rPr>
        <w:t xml:space="preserve">Indicates a significant result (p ≤ 0.05); </w:t>
      </w:r>
      <w:r w:rsidRPr="003859D3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3859D3">
        <w:rPr>
          <w:rFonts w:ascii="Times New Roman" w:hAnsi="Times New Roman"/>
          <w:color w:val="000000" w:themeColor="text1"/>
          <w:sz w:val="20"/>
          <w:szCs w:val="20"/>
        </w:rPr>
        <w:t>Indicates a significant result (p ≤ 0.01</w:t>
      </w:r>
      <w:r w:rsidRPr="003859D3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3859D3">
        <w:rPr>
          <w:rFonts w:ascii="Times New Roman" w:hAnsi="Times New Roman"/>
          <w:color w:val="000000" w:themeColor="text1"/>
          <w:sz w:val="20"/>
          <w:szCs w:val="20"/>
        </w:rPr>
        <w:t>); Italics indicates a trend towards significance.</w:t>
      </w:r>
      <w:r w:rsidRPr="003859D3">
        <w:rPr>
          <w:color w:val="000000" w:themeColor="text1"/>
        </w:rPr>
        <w:t xml:space="preserve"> </w:t>
      </w:r>
    </w:p>
    <w:sectPr w:rsidR="0071285E" w:rsidRPr="003859D3" w:rsidSect="002273E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859D3"/>
    <w:rsid w:val="002E32EB"/>
    <w:rsid w:val="003859D3"/>
    <w:rsid w:val="00731CA1"/>
    <w:rsid w:val="008717D3"/>
    <w:rsid w:val="009128CB"/>
    <w:rsid w:val="0095262E"/>
    <w:rsid w:val="00A3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D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Swathi</cp:lastModifiedBy>
  <cp:revision>3</cp:revision>
  <dcterms:created xsi:type="dcterms:W3CDTF">2019-08-05T09:56:00Z</dcterms:created>
  <dcterms:modified xsi:type="dcterms:W3CDTF">2019-08-13T10:50:00Z</dcterms:modified>
</cp:coreProperties>
</file>