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C2B" w:rsidRPr="003F5C2B" w:rsidRDefault="003F5C2B" w:rsidP="003F5C2B">
      <w:pPr>
        <w:pStyle w:val="normal0"/>
        <w:spacing w:after="0" w:line="360" w:lineRule="auto"/>
        <w:rPr>
          <w:rFonts w:ascii="Arial" w:eastAsia="Times New Roman" w:hAnsi="Arial" w:cs="Arial"/>
          <w:b/>
          <w:color w:val="000000" w:themeColor="text1"/>
          <w:sz w:val="20"/>
          <w:szCs w:val="20"/>
        </w:rPr>
      </w:pPr>
      <w:r w:rsidRPr="003F5C2B">
        <w:rPr>
          <w:rFonts w:ascii="Arial" w:eastAsia="Times New Roman" w:hAnsi="Arial" w:cs="Arial"/>
          <w:b/>
          <w:color w:val="000000" w:themeColor="text1"/>
          <w:sz w:val="20"/>
          <w:szCs w:val="20"/>
        </w:rPr>
        <w:t xml:space="preserve">Table 1: </w:t>
      </w:r>
      <w:r w:rsidRPr="003F5C2B">
        <w:rPr>
          <w:rFonts w:ascii="Arial" w:eastAsia="Times New Roman" w:hAnsi="Arial" w:cs="Arial"/>
          <w:color w:val="000000" w:themeColor="text1"/>
          <w:sz w:val="20"/>
          <w:szCs w:val="20"/>
        </w:rPr>
        <w:t>Characteristics of included articles.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6"/>
        <w:gridCol w:w="1903"/>
        <w:gridCol w:w="1830"/>
        <w:gridCol w:w="1882"/>
        <w:gridCol w:w="1879"/>
      </w:tblGrid>
      <w:tr w:rsidR="003F5C2B" w:rsidRPr="003F5C2B" w:rsidTr="00A61C7C">
        <w:tc>
          <w:tcPr>
            <w:tcW w:w="1915" w:type="dxa"/>
          </w:tcPr>
          <w:p w:rsidR="003F5C2B" w:rsidRPr="003F5C2B" w:rsidRDefault="003F5C2B" w:rsidP="00A61C7C">
            <w:pPr>
              <w:pStyle w:val="normal0"/>
              <w:spacing w:after="0" w:line="360" w:lineRule="auto"/>
              <w:rPr>
                <w:rFonts w:ascii="Arial" w:eastAsia="Times New Roman" w:hAnsi="Arial" w:cs="Arial"/>
                <w:b/>
                <w:color w:val="000000" w:themeColor="text1"/>
                <w:sz w:val="20"/>
                <w:szCs w:val="20"/>
              </w:rPr>
            </w:pPr>
            <w:r w:rsidRPr="003F5C2B">
              <w:rPr>
                <w:rFonts w:ascii="Arial" w:eastAsia="Times New Roman" w:hAnsi="Arial" w:cs="Arial"/>
                <w:b/>
                <w:color w:val="000000" w:themeColor="text1"/>
                <w:sz w:val="20"/>
                <w:szCs w:val="20"/>
              </w:rPr>
              <w:t>Author &amp; Da</w:t>
            </w:r>
            <w:bookmarkStart w:id="0" w:name="_GoBack"/>
            <w:bookmarkEnd w:id="0"/>
            <w:r w:rsidRPr="003F5C2B">
              <w:rPr>
                <w:rFonts w:ascii="Arial" w:eastAsia="Times New Roman" w:hAnsi="Arial" w:cs="Arial"/>
                <w:b/>
                <w:color w:val="000000" w:themeColor="text1"/>
                <w:sz w:val="20"/>
                <w:szCs w:val="20"/>
              </w:rPr>
              <w:t>te</w:t>
            </w:r>
          </w:p>
        </w:tc>
        <w:tc>
          <w:tcPr>
            <w:tcW w:w="1915" w:type="dxa"/>
          </w:tcPr>
          <w:p w:rsidR="003F5C2B" w:rsidRPr="003F5C2B" w:rsidRDefault="003F5C2B" w:rsidP="00A61C7C">
            <w:pPr>
              <w:pStyle w:val="normal0"/>
              <w:spacing w:after="0" w:line="360" w:lineRule="auto"/>
              <w:rPr>
                <w:rFonts w:ascii="Arial" w:eastAsia="Times New Roman" w:hAnsi="Arial" w:cs="Arial"/>
                <w:b/>
                <w:color w:val="000000" w:themeColor="text1"/>
                <w:sz w:val="20"/>
                <w:szCs w:val="20"/>
              </w:rPr>
            </w:pPr>
            <w:r w:rsidRPr="003F5C2B">
              <w:rPr>
                <w:rFonts w:ascii="Arial" w:eastAsia="Times New Roman" w:hAnsi="Arial" w:cs="Arial"/>
                <w:b/>
                <w:color w:val="000000" w:themeColor="text1"/>
                <w:sz w:val="20"/>
                <w:szCs w:val="20"/>
              </w:rPr>
              <w:t>Outcome Measures</w:t>
            </w:r>
          </w:p>
        </w:tc>
        <w:tc>
          <w:tcPr>
            <w:tcW w:w="1915" w:type="dxa"/>
          </w:tcPr>
          <w:p w:rsidR="003F5C2B" w:rsidRPr="003F5C2B" w:rsidRDefault="003F5C2B" w:rsidP="00A61C7C">
            <w:pPr>
              <w:pStyle w:val="normal0"/>
              <w:spacing w:after="0" w:line="360" w:lineRule="auto"/>
              <w:rPr>
                <w:rFonts w:ascii="Arial" w:eastAsia="Times New Roman" w:hAnsi="Arial" w:cs="Arial"/>
                <w:b/>
                <w:color w:val="000000" w:themeColor="text1"/>
                <w:sz w:val="20"/>
                <w:szCs w:val="20"/>
              </w:rPr>
            </w:pPr>
            <w:r w:rsidRPr="003F5C2B">
              <w:rPr>
                <w:rFonts w:ascii="Arial" w:eastAsia="Times New Roman" w:hAnsi="Arial" w:cs="Arial"/>
                <w:b/>
                <w:color w:val="000000" w:themeColor="text1"/>
                <w:sz w:val="20"/>
                <w:szCs w:val="20"/>
              </w:rPr>
              <w:t>Sample</w:t>
            </w:r>
          </w:p>
        </w:tc>
        <w:tc>
          <w:tcPr>
            <w:tcW w:w="1915" w:type="dxa"/>
          </w:tcPr>
          <w:p w:rsidR="003F5C2B" w:rsidRPr="003F5C2B" w:rsidRDefault="003F5C2B" w:rsidP="00A61C7C">
            <w:pPr>
              <w:pStyle w:val="normal0"/>
              <w:spacing w:after="0" w:line="360" w:lineRule="auto"/>
              <w:rPr>
                <w:rFonts w:ascii="Arial" w:eastAsia="Times New Roman" w:hAnsi="Arial" w:cs="Arial"/>
                <w:b/>
                <w:color w:val="000000" w:themeColor="text1"/>
                <w:sz w:val="20"/>
                <w:szCs w:val="20"/>
              </w:rPr>
            </w:pPr>
            <w:r w:rsidRPr="003F5C2B">
              <w:rPr>
                <w:rFonts w:ascii="Arial" w:eastAsia="Times New Roman" w:hAnsi="Arial" w:cs="Arial"/>
                <w:b/>
                <w:color w:val="000000" w:themeColor="text1"/>
                <w:sz w:val="20"/>
                <w:szCs w:val="20"/>
              </w:rPr>
              <w:t>Conclusion</w:t>
            </w:r>
          </w:p>
        </w:tc>
        <w:tc>
          <w:tcPr>
            <w:tcW w:w="1916" w:type="dxa"/>
          </w:tcPr>
          <w:p w:rsidR="003F5C2B" w:rsidRPr="003F5C2B" w:rsidRDefault="003F5C2B" w:rsidP="00A61C7C">
            <w:pPr>
              <w:pStyle w:val="normal0"/>
              <w:spacing w:after="0" w:line="360" w:lineRule="auto"/>
              <w:rPr>
                <w:rFonts w:ascii="Arial" w:eastAsia="Times New Roman" w:hAnsi="Arial" w:cs="Arial"/>
                <w:b/>
                <w:color w:val="000000" w:themeColor="text1"/>
                <w:sz w:val="20"/>
                <w:szCs w:val="20"/>
              </w:rPr>
            </w:pPr>
            <w:r w:rsidRPr="003F5C2B">
              <w:rPr>
                <w:rFonts w:ascii="Arial" w:eastAsia="Times New Roman" w:hAnsi="Arial" w:cs="Arial"/>
                <w:b/>
                <w:color w:val="000000" w:themeColor="text1"/>
                <w:sz w:val="20"/>
                <w:szCs w:val="20"/>
              </w:rPr>
              <w:t>Psychometric Properties</w:t>
            </w:r>
          </w:p>
        </w:tc>
      </w:tr>
      <w:tr w:rsidR="003F5C2B" w:rsidRPr="003F5C2B" w:rsidTr="00A61C7C">
        <w:tc>
          <w:tcPr>
            <w:tcW w:w="1915" w:type="dxa"/>
          </w:tcPr>
          <w:p w:rsidR="003F5C2B" w:rsidRPr="003F5C2B" w:rsidRDefault="003F5C2B" w:rsidP="00A61C7C">
            <w:pPr>
              <w:pStyle w:val="normal0"/>
              <w:spacing w:after="0" w:line="360" w:lineRule="auto"/>
              <w:rPr>
                <w:rFonts w:ascii="Arial" w:eastAsia="Times New Roman" w:hAnsi="Arial" w:cs="Arial"/>
                <w:b/>
                <w:color w:val="000000" w:themeColor="text1"/>
                <w:sz w:val="20"/>
                <w:szCs w:val="20"/>
              </w:rPr>
            </w:pPr>
            <w:r w:rsidRPr="003F5C2B">
              <w:rPr>
                <w:rFonts w:ascii="Arial" w:eastAsia="Times New Roman" w:hAnsi="Arial" w:cs="Arial"/>
                <w:color w:val="000000" w:themeColor="text1"/>
                <w:sz w:val="20"/>
                <w:szCs w:val="20"/>
              </w:rPr>
              <w:t>Moseley GL, 2004 [12]</w:t>
            </w:r>
          </w:p>
        </w:tc>
        <w:tc>
          <w:tcPr>
            <w:tcW w:w="1915"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The brief survey of pain attitudes (SOPA)</w:t>
            </w:r>
          </w:p>
          <w:p w:rsidR="003F5C2B" w:rsidRPr="003F5C2B" w:rsidRDefault="003F5C2B" w:rsidP="00A61C7C">
            <w:pPr>
              <w:pStyle w:val="normal0"/>
              <w:spacing w:after="0" w:line="360" w:lineRule="auto"/>
              <w:rPr>
                <w:rFonts w:ascii="Arial" w:eastAsia="Times New Roman" w:hAnsi="Arial" w:cs="Arial"/>
                <w:b/>
                <w:color w:val="000000" w:themeColor="text1"/>
                <w:sz w:val="20"/>
                <w:szCs w:val="20"/>
              </w:rPr>
            </w:pPr>
            <w:r w:rsidRPr="003F5C2B">
              <w:rPr>
                <w:rFonts w:ascii="Arial" w:eastAsia="Times New Roman" w:hAnsi="Arial" w:cs="Arial"/>
                <w:color w:val="000000" w:themeColor="text1"/>
                <w:sz w:val="20"/>
                <w:szCs w:val="20"/>
              </w:rPr>
              <w:t>The pain catastrophising scale (PCS)</w:t>
            </w:r>
          </w:p>
        </w:tc>
        <w:tc>
          <w:tcPr>
            <w:tcW w:w="1915"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N = 121 CLBP</w:t>
            </w:r>
          </w:p>
          <w:p w:rsidR="003F5C2B" w:rsidRPr="003F5C2B" w:rsidRDefault="003F5C2B" w:rsidP="00A61C7C">
            <w:pPr>
              <w:pStyle w:val="normal0"/>
              <w:spacing w:after="0" w:line="360" w:lineRule="auto"/>
              <w:rPr>
                <w:rFonts w:ascii="Arial" w:eastAsia="Times New Roman" w:hAnsi="Arial" w:cs="Arial"/>
                <w:b/>
                <w:color w:val="000000" w:themeColor="text1"/>
                <w:sz w:val="20"/>
                <w:szCs w:val="20"/>
              </w:rPr>
            </w:pPr>
            <w:r w:rsidRPr="003F5C2B">
              <w:rPr>
                <w:rFonts w:ascii="Arial" w:eastAsia="Times New Roman" w:hAnsi="Arial" w:cs="Arial"/>
                <w:color w:val="000000" w:themeColor="text1"/>
                <w:sz w:val="20"/>
                <w:szCs w:val="20"/>
              </w:rPr>
              <w:t>Age: 36-68</w:t>
            </w:r>
          </w:p>
        </w:tc>
        <w:tc>
          <w:tcPr>
            <w:tcW w:w="1915" w:type="dxa"/>
          </w:tcPr>
          <w:p w:rsidR="003F5C2B" w:rsidRPr="003F5C2B" w:rsidRDefault="003F5C2B" w:rsidP="00A61C7C">
            <w:pPr>
              <w:pStyle w:val="normal0"/>
              <w:spacing w:after="0" w:line="360" w:lineRule="auto"/>
              <w:rPr>
                <w:rFonts w:ascii="Arial" w:eastAsia="Times New Roman" w:hAnsi="Arial" w:cs="Arial"/>
                <w:b/>
                <w:color w:val="000000" w:themeColor="text1"/>
                <w:sz w:val="20"/>
                <w:szCs w:val="20"/>
              </w:rPr>
            </w:pPr>
            <w:r w:rsidRPr="003F5C2B">
              <w:rPr>
                <w:rFonts w:ascii="Arial" w:eastAsia="Times New Roman" w:hAnsi="Arial" w:cs="Arial"/>
                <w:color w:val="000000" w:themeColor="text1"/>
                <w:sz w:val="20"/>
                <w:szCs w:val="20"/>
              </w:rPr>
              <w:t>Change in pain cognitions is associated with change in physical performance, even when there is no opportunity to be physically active. Unhelpful pain cognitions should be considered when interpreting physical assessments.</w:t>
            </w:r>
          </w:p>
        </w:tc>
        <w:tc>
          <w:tcPr>
            <w:tcW w:w="1916"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highlight w:val="white"/>
              </w:rPr>
            </w:pPr>
            <w:r w:rsidRPr="003F5C2B">
              <w:rPr>
                <w:rFonts w:ascii="Arial" w:eastAsia="Times New Roman" w:hAnsi="Arial" w:cs="Arial"/>
                <w:b/>
                <w:color w:val="000000" w:themeColor="text1"/>
                <w:sz w:val="20"/>
                <w:szCs w:val="20"/>
                <w:highlight w:val="white"/>
              </w:rPr>
              <w:t xml:space="preserve">SOPA -Brief: </w:t>
            </w:r>
            <w:r w:rsidRPr="003F5C2B">
              <w:rPr>
                <w:rFonts w:ascii="Arial" w:eastAsia="Times New Roman" w:hAnsi="Arial" w:cs="Arial"/>
                <w:color w:val="000000" w:themeColor="text1"/>
                <w:sz w:val="20"/>
                <w:szCs w:val="20"/>
                <w:highlight w:val="white"/>
              </w:rPr>
              <w:t>Four domains had good Cronbach's alpha values (0.74-0.85) and three had moderate (0.58-0.65)</w:t>
            </w:r>
          </w:p>
          <w:p w:rsidR="003F5C2B" w:rsidRPr="003F5C2B" w:rsidRDefault="003F5C2B" w:rsidP="00A61C7C">
            <w:pPr>
              <w:pStyle w:val="normal0"/>
              <w:spacing w:after="0" w:line="360" w:lineRule="auto"/>
              <w:rPr>
                <w:rFonts w:ascii="Arial" w:eastAsia="Times New Roman" w:hAnsi="Arial" w:cs="Arial"/>
                <w:color w:val="000000" w:themeColor="text1"/>
                <w:sz w:val="20"/>
                <w:szCs w:val="20"/>
                <w:highlight w:val="white"/>
              </w:rPr>
            </w:pPr>
            <w:r w:rsidRPr="003F5C2B">
              <w:rPr>
                <w:rFonts w:ascii="Arial" w:eastAsia="Times New Roman" w:hAnsi="Arial" w:cs="Arial"/>
                <w:b/>
                <w:color w:val="000000" w:themeColor="text1"/>
                <w:sz w:val="20"/>
                <w:szCs w:val="20"/>
                <w:highlight w:val="white"/>
              </w:rPr>
              <w:t xml:space="preserve">PCS: </w:t>
            </w:r>
            <w:r w:rsidRPr="003F5C2B">
              <w:rPr>
                <w:rFonts w:ascii="Arial" w:eastAsia="Times New Roman" w:hAnsi="Arial" w:cs="Arial"/>
                <w:color w:val="000000" w:themeColor="text1"/>
                <w:sz w:val="20"/>
                <w:szCs w:val="20"/>
                <w:highlight w:val="white"/>
              </w:rPr>
              <w:t>Cronbach’s α = 0.92 (95% CI = 0.91-0.93)</w:t>
            </w:r>
          </w:p>
          <w:p w:rsidR="003F5C2B" w:rsidRPr="003F5C2B" w:rsidRDefault="003F5C2B" w:rsidP="00A61C7C">
            <w:pPr>
              <w:pStyle w:val="normal0"/>
              <w:spacing w:after="0" w:line="360" w:lineRule="auto"/>
              <w:rPr>
                <w:rFonts w:ascii="Arial" w:eastAsia="Times New Roman" w:hAnsi="Arial" w:cs="Arial"/>
                <w:b/>
                <w:color w:val="000000" w:themeColor="text1"/>
                <w:sz w:val="20"/>
                <w:szCs w:val="20"/>
              </w:rPr>
            </w:pPr>
            <w:r w:rsidRPr="003F5C2B">
              <w:rPr>
                <w:rFonts w:ascii="Arial" w:eastAsia="Times New Roman" w:hAnsi="Arial" w:cs="Arial"/>
                <w:color w:val="000000" w:themeColor="text1"/>
                <w:sz w:val="20"/>
                <w:szCs w:val="20"/>
                <w:highlight w:val="white"/>
              </w:rPr>
              <w:t xml:space="preserve">For total scale: Test-retest reliability = Spearman ρ = 0.88, 95% CI = 0.83-0.93) </w:t>
            </w:r>
            <w:r w:rsidRPr="003F5C2B">
              <w:rPr>
                <w:rFonts w:ascii="Arial" w:eastAsia="Times New Roman" w:hAnsi="Arial" w:cs="Arial"/>
                <w:color w:val="000000" w:themeColor="text1"/>
                <w:sz w:val="20"/>
                <w:szCs w:val="20"/>
              </w:rPr>
              <w:t>Data was not reported for the subscales.</w:t>
            </w:r>
          </w:p>
        </w:tc>
      </w:tr>
      <w:tr w:rsidR="003F5C2B" w:rsidRPr="003F5C2B" w:rsidTr="00A61C7C">
        <w:tc>
          <w:tcPr>
            <w:tcW w:w="1915"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Paul Karoly, et al. 2008 [17]</w:t>
            </w:r>
          </w:p>
        </w:tc>
        <w:tc>
          <w:tcPr>
            <w:tcW w:w="1915"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 xml:space="preserve">4-item Self-Efficacy scale of </w:t>
            </w:r>
            <w:r w:rsidRPr="003F5C2B">
              <w:rPr>
                <w:rFonts w:ascii="Arial" w:eastAsia="Times New Roman" w:hAnsi="Arial" w:cs="Arial"/>
                <w:color w:val="000000" w:themeColor="text1"/>
                <w:sz w:val="20"/>
                <w:szCs w:val="20"/>
                <w:highlight w:val="white"/>
              </w:rPr>
              <w:t>Goal Systems Assessment Battery (</w:t>
            </w:r>
            <w:r w:rsidRPr="003F5C2B">
              <w:rPr>
                <w:rFonts w:ascii="Arial" w:eastAsia="Times New Roman" w:hAnsi="Arial" w:cs="Arial"/>
                <w:color w:val="000000" w:themeColor="text1"/>
                <w:sz w:val="20"/>
                <w:szCs w:val="20"/>
              </w:rPr>
              <w:t>GSAB )</w:t>
            </w:r>
          </w:p>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Center for Epidemiological Studies Depression Scale(CES-D)</w:t>
            </w:r>
          </w:p>
          <w:p w:rsidR="003F5C2B" w:rsidRPr="003F5C2B" w:rsidRDefault="003F5C2B" w:rsidP="00A61C7C">
            <w:pPr>
              <w:pStyle w:val="normal0"/>
              <w:spacing w:after="0" w:line="360" w:lineRule="auto"/>
              <w:rPr>
                <w:rFonts w:ascii="Arial" w:eastAsia="Times New Roman" w:hAnsi="Arial" w:cs="Arial"/>
                <w:b/>
                <w:color w:val="000000" w:themeColor="text1"/>
                <w:sz w:val="20"/>
                <w:szCs w:val="20"/>
              </w:rPr>
            </w:pPr>
          </w:p>
        </w:tc>
        <w:tc>
          <w:tcPr>
            <w:tcW w:w="1915"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n = 100 CLBP</w:t>
            </w:r>
          </w:p>
          <w:p w:rsidR="003F5C2B" w:rsidRPr="003F5C2B" w:rsidRDefault="003F5C2B" w:rsidP="00A61C7C">
            <w:pPr>
              <w:pStyle w:val="normal0"/>
              <w:spacing w:after="0" w:line="360" w:lineRule="auto"/>
              <w:rPr>
                <w:rFonts w:ascii="Arial" w:eastAsia="Times New Roman" w:hAnsi="Arial" w:cs="Arial"/>
                <w:b/>
                <w:color w:val="000000" w:themeColor="text1"/>
                <w:sz w:val="20"/>
                <w:szCs w:val="20"/>
              </w:rPr>
            </w:pPr>
            <w:r w:rsidRPr="003F5C2B">
              <w:rPr>
                <w:rFonts w:ascii="Arial" w:eastAsia="Times New Roman" w:hAnsi="Arial" w:cs="Arial"/>
                <w:color w:val="000000" w:themeColor="text1"/>
                <w:sz w:val="20"/>
                <w:szCs w:val="20"/>
              </w:rPr>
              <w:t>Age: 30-65</w:t>
            </w:r>
          </w:p>
        </w:tc>
        <w:tc>
          <w:tcPr>
            <w:tcW w:w="1915" w:type="dxa"/>
          </w:tcPr>
          <w:p w:rsidR="003F5C2B" w:rsidRPr="003F5C2B" w:rsidRDefault="003F5C2B" w:rsidP="00A61C7C">
            <w:pPr>
              <w:pStyle w:val="normal0"/>
              <w:spacing w:after="0" w:line="360" w:lineRule="auto"/>
              <w:rPr>
                <w:rFonts w:ascii="Arial" w:eastAsia="Times New Roman" w:hAnsi="Arial" w:cs="Arial"/>
                <w:b/>
                <w:color w:val="000000" w:themeColor="text1"/>
                <w:sz w:val="20"/>
                <w:szCs w:val="20"/>
              </w:rPr>
            </w:pPr>
            <w:r w:rsidRPr="003F5C2B">
              <w:rPr>
                <w:rFonts w:ascii="Arial" w:eastAsia="Times New Roman" w:hAnsi="Arial" w:cs="Arial"/>
                <w:color w:val="000000" w:themeColor="text1"/>
                <w:sz w:val="20"/>
                <w:szCs w:val="20"/>
              </w:rPr>
              <w:t>Clinical pain specialists should treat pain-induced fear as a means of forestalling disability and depression, and that they should also seek to modify how CLBP patients think about and organize their life goals</w:t>
            </w:r>
          </w:p>
        </w:tc>
        <w:tc>
          <w:tcPr>
            <w:tcW w:w="1916"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b/>
                <w:color w:val="000000" w:themeColor="text1"/>
                <w:sz w:val="20"/>
                <w:szCs w:val="20"/>
              </w:rPr>
              <w:t>GSAB:</w:t>
            </w:r>
            <w:r w:rsidRPr="003F5C2B">
              <w:rPr>
                <w:rFonts w:ascii="Arial" w:eastAsia="Times New Roman" w:hAnsi="Arial" w:cs="Arial"/>
                <w:color w:val="000000" w:themeColor="text1"/>
                <w:sz w:val="20"/>
                <w:szCs w:val="20"/>
              </w:rPr>
              <w:t xml:space="preserve"> Cronbach’s </w:t>
            </w:r>
            <w:r w:rsidRPr="003F5C2B">
              <w:rPr>
                <w:rFonts w:ascii="Arial" w:eastAsia="Times New Roman" w:hAnsi="Arial" w:cs="Arial"/>
                <w:color w:val="000000" w:themeColor="text1"/>
                <w:sz w:val="20"/>
                <w:szCs w:val="20"/>
                <w:highlight w:val="white"/>
              </w:rPr>
              <w:t>α</w:t>
            </w:r>
            <w:r w:rsidRPr="003F5C2B">
              <w:rPr>
                <w:rFonts w:ascii="Arial" w:eastAsia="Times New Roman" w:hAnsi="Arial" w:cs="Arial"/>
                <w:color w:val="000000" w:themeColor="text1"/>
                <w:sz w:val="20"/>
                <w:szCs w:val="20"/>
              </w:rPr>
              <w:t xml:space="preserve"> = 0.86.</w:t>
            </w:r>
          </w:p>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b/>
                <w:color w:val="000000" w:themeColor="text1"/>
                <w:sz w:val="20"/>
                <w:szCs w:val="20"/>
              </w:rPr>
              <w:t xml:space="preserve">CES -D: </w:t>
            </w:r>
            <w:r w:rsidRPr="003F5C2B">
              <w:rPr>
                <w:rFonts w:ascii="Arial" w:eastAsia="Times New Roman" w:hAnsi="Arial" w:cs="Arial"/>
                <w:color w:val="000000" w:themeColor="text1"/>
                <w:sz w:val="20"/>
                <w:szCs w:val="20"/>
              </w:rPr>
              <w:t>Internal consistency reliability as estimated by coefficient a was 0.86. Retest reliability of 0.67</w:t>
            </w:r>
          </w:p>
          <w:p w:rsidR="003F5C2B" w:rsidRPr="003F5C2B" w:rsidRDefault="003F5C2B" w:rsidP="00A61C7C">
            <w:pPr>
              <w:pStyle w:val="normal0"/>
              <w:spacing w:after="0" w:line="360" w:lineRule="auto"/>
              <w:rPr>
                <w:rFonts w:ascii="Arial" w:eastAsia="Times New Roman" w:hAnsi="Arial" w:cs="Arial"/>
                <w:b/>
                <w:color w:val="000000" w:themeColor="text1"/>
                <w:sz w:val="20"/>
                <w:szCs w:val="20"/>
              </w:rPr>
            </w:pPr>
          </w:p>
        </w:tc>
      </w:tr>
      <w:tr w:rsidR="003F5C2B" w:rsidRPr="003F5C2B" w:rsidTr="00A61C7C">
        <w:tc>
          <w:tcPr>
            <w:tcW w:w="1915" w:type="dxa"/>
          </w:tcPr>
          <w:p w:rsidR="003F5C2B" w:rsidRPr="003F5C2B" w:rsidRDefault="003F5C2B" w:rsidP="00A61C7C">
            <w:pPr>
              <w:pStyle w:val="normal0"/>
              <w:spacing w:after="0" w:line="360" w:lineRule="auto"/>
              <w:rPr>
                <w:rFonts w:ascii="Arial" w:eastAsia="Times New Roman" w:hAnsi="Arial" w:cs="Arial"/>
                <w:b/>
                <w:color w:val="000000" w:themeColor="text1"/>
                <w:sz w:val="20"/>
                <w:szCs w:val="20"/>
              </w:rPr>
            </w:pPr>
            <w:r w:rsidRPr="003F5C2B">
              <w:rPr>
                <w:rFonts w:ascii="Arial" w:eastAsia="Times New Roman" w:hAnsi="Arial" w:cs="Arial"/>
                <w:color w:val="000000" w:themeColor="text1"/>
                <w:sz w:val="20"/>
                <w:szCs w:val="20"/>
              </w:rPr>
              <w:lastRenderedPageBreak/>
              <w:t>Nadar MS, et al. 2016 [18]</w:t>
            </w:r>
          </w:p>
        </w:tc>
        <w:tc>
          <w:tcPr>
            <w:tcW w:w="1915"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Visual analogue scale (VAS)</w:t>
            </w:r>
          </w:p>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Contextual Memory Test(CMT) Short-term memory and long term memory</w:t>
            </w:r>
          </w:p>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 xml:space="preserve">A Quick Test </w:t>
            </w:r>
          </w:p>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 xml:space="preserve">Trail Making Test </w:t>
            </w:r>
          </w:p>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 xml:space="preserve">Digit Forward Test </w:t>
            </w:r>
          </w:p>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 xml:space="preserve">Digit Backward Test </w:t>
            </w:r>
          </w:p>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 xml:space="preserve">D2 test </w:t>
            </w:r>
          </w:p>
        </w:tc>
        <w:tc>
          <w:tcPr>
            <w:tcW w:w="1915"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n = 69</w:t>
            </w:r>
          </w:p>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40 CLBP</w:t>
            </w:r>
          </w:p>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29 No Pain</w:t>
            </w:r>
          </w:p>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Age 18-54</w:t>
            </w:r>
          </w:p>
        </w:tc>
        <w:tc>
          <w:tcPr>
            <w:tcW w:w="1915"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 xml:space="preserve"> The effect of Middle Eastern culture on the cognitive abilities of patients with chronic pain was negligible. </w:t>
            </w:r>
          </w:p>
        </w:tc>
        <w:tc>
          <w:tcPr>
            <w:tcW w:w="1916"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b/>
                <w:color w:val="000000" w:themeColor="text1"/>
                <w:sz w:val="20"/>
                <w:szCs w:val="20"/>
              </w:rPr>
              <w:t>VAS:</w:t>
            </w:r>
            <w:r w:rsidRPr="003F5C2B">
              <w:rPr>
                <w:rFonts w:ascii="Arial" w:eastAsia="Times New Roman" w:hAnsi="Arial" w:cs="Arial"/>
                <w:color w:val="000000" w:themeColor="text1"/>
                <w:sz w:val="20"/>
                <w:szCs w:val="20"/>
              </w:rPr>
              <w:t xml:space="preserve"> </w:t>
            </w:r>
          </w:p>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Test-retest reliability r = 0.94</w:t>
            </w:r>
          </w:p>
          <w:p w:rsidR="003F5C2B" w:rsidRPr="003F5C2B" w:rsidRDefault="003F5C2B" w:rsidP="00A61C7C">
            <w:pPr>
              <w:pStyle w:val="normal0"/>
              <w:spacing w:after="0" w:line="360" w:lineRule="auto"/>
              <w:rPr>
                <w:rFonts w:ascii="Arial" w:eastAsia="Times New Roman" w:hAnsi="Arial" w:cs="Arial"/>
                <w:b/>
                <w:color w:val="000000" w:themeColor="text1"/>
                <w:sz w:val="20"/>
                <w:szCs w:val="20"/>
              </w:rPr>
            </w:pPr>
            <w:r w:rsidRPr="003F5C2B">
              <w:rPr>
                <w:rFonts w:ascii="Arial" w:eastAsia="Times New Roman" w:hAnsi="Arial" w:cs="Arial"/>
                <w:b/>
                <w:color w:val="000000" w:themeColor="text1"/>
                <w:sz w:val="20"/>
                <w:szCs w:val="20"/>
              </w:rPr>
              <w:t xml:space="preserve">CMT: </w:t>
            </w:r>
          </w:p>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Test-retest reliability = 0.74-0.87</w:t>
            </w:r>
          </w:p>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b/>
                <w:color w:val="000000" w:themeColor="text1"/>
                <w:sz w:val="20"/>
                <w:szCs w:val="20"/>
              </w:rPr>
              <w:t>Trail Making Test</w:t>
            </w:r>
            <w:r w:rsidRPr="003F5C2B">
              <w:rPr>
                <w:rFonts w:ascii="Arial" w:eastAsia="Times New Roman" w:hAnsi="Arial" w:cs="Arial"/>
                <w:color w:val="000000" w:themeColor="text1"/>
                <w:sz w:val="20"/>
                <w:szCs w:val="20"/>
              </w:rPr>
              <w:t>- Test-retest reliability = 0.70-0.78; inter-rater reliability = 0.96-0.98.</w:t>
            </w:r>
          </w:p>
          <w:p w:rsidR="003F5C2B" w:rsidRPr="003F5C2B" w:rsidRDefault="003F5C2B" w:rsidP="00A61C7C">
            <w:pPr>
              <w:pStyle w:val="normal0"/>
              <w:spacing w:after="0" w:line="360" w:lineRule="auto"/>
              <w:rPr>
                <w:rFonts w:ascii="Arial" w:eastAsia="Times New Roman" w:hAnsi="Arial" w:cs="Arial"/>
                <w:b/>
                <w:color w:val="000000" w:themeColor="text1"/>
                <w:sz w:val="20"/>
                <w:szCs w:val="20"/>
              </w:rPr>
            </w:pPr>
            <w:r w:rsidRPr="003F5C2B">
              <w:rPr>
                <w:rFonts w:ascii="Arial" w:eastAsia="Times New Roman" w:hAnsi="Arial" w:cs="Arial"/>
                <w:b/>
                <w:color w:val="000000" w:themeColor="text1"/>
                <w:sz w:val="20"/>
                <w:szCs w:val="20"/>
              </w:rPr>
              <w:t xml:space="preserve">Digit Forward Test </w:t>
            </w:r>
          </w:p>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b/>
                <w:color w:val="000000" w:themeColor="text1"/>
                <w:sz w:val="20"/>
                <w:szCs w:val="20"/>
              </w:rPr>
              <w:t>Digit Backward Test</w:t>
            </w:r>
            <w:r w:rsidRPr="003F5C2B">
              <w:rPr>
                <w:rFonts w:ascii="Arial" w:eastAsia="Times New Roman" w:hAnsi="Arial" w:cs="Arial"/>
                <w:color w:val="000000" w:themeColor="text1"/>
                <w:sz w:val="20"/>
                <w:szCs w:val="20"/>
              </w:rPr>
              <w:t xml:space="preserve"> </w:t>
            </w:r>
          </w:p>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Test-retest reliability (r) = 0.43-0.77.</w:t>
            </w:r>
          </w:p>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b/>
                <w:color w:val="000000" w:themeColor="text1"/>
                <w:sz w:val="20"/>
                <w:szCs w:val="20"/>
              </w:rPr>
              <w:t xml:space="preserve">D2 test: </w:t>
            </w:r>
            <w:r w:rsidRPr="003F5C2B">
              <w:rPr>
                <w:rFonts w:ascii="Arial" w:eastAsia="Times New Roman" w:hAnsi="Arial" w:cs="Arial"/>
                <w:color w:val="000000" w:themeColor="text1"/>
                <w:sz w:val="20"/>
                <w:szCs w:val="20"/>
              </w:rPr>
              <w:t xml:space="preserve">Cronbach’s </w:t>
            </w:r>
            <w:r w:rsidRPr="003F5C2B">
              <w:rPr>
                <w:rFonts w:ascii="Arial" w:eastAsia="Times New Roman" w:hAnsi="Arial" w:cs="Arial"/>
                <w:color w:val="000000" w:themeColor="text1"/>
                <w:sz w:val="20"/>
                <w:szCs w:val="20"/>
                <w:highlight w:val="white"/>
              </w:rPr>
              <w:t>α</w:t>
            </w:r>
            <w:r w:rsidRPr="003F5C2B">
              <w:rPr>
                <w:rFonts w:ascii="Arial" w:eastAsia="Times New Roman" w:hAnsi="Arial" w:cs="Arial"/>
                <w:color w:val="000000" w:themeColor="text1"/>
                <w:sz w:val="20"/>
                <w:szCs w:val="20"/>
              </w:rPr>
              <w:t xml:space="preserve"> = 0.95-0.98, and a Spearman’s coefficient of 0.47 </w:t>
            </w:r>
          </w:p>
          <w:p w:rsidR="003F5C2B" w:rsidRPr="003F5C2B" w:rsidRDefault="003F5C2B" w:rsidP="00A61C7C">
            <w:pPr>
              <w:pStyle w:val="normal0"/>
              <w:spacing w:after="0" w:line="360" w:lineRule="auto"/>
              <w:rPr>
                <w:rFonts w:ascii="Arial" w:eastAsia="Times New Roman" w:hAnsi="Arial" w:cs="Arial"/>
                <w:color w:val="000000" w:themeColor="text1"/>
                <w:sz w:val="20"/>
                <w:szCs w:val="20"/>
              </w:rPr>
            </w:pPr>
          </w:p>
        </w:tc>
      </w:tr>
      <w:tr w:rsidR="003F5C2B" w:rsidRPr="003F5C2B" w:rsidTr="00A61C7C">
        <w:tc>
          <w:tcPr>
            <w:tcW w:w="1915"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Schiltenwolf M, et al. 2017 [19]</w:t>
            </w:r>
          </w:p>
        </w:tc>
        <w:tc>
          <w:tcPr>
            <w:tcW w:w="1915"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Multiple choice vocabulary test (MWT-B,17)</w:t>
            </w:r>
          </w:p>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Wechsler Adult Intelligence Scale (WAIS-III)</w:t>
            </w:r>
          </w:p>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Trail-making test (TMT)</w:t>
            </w:r>
          </w:p>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CANTAB tests</w:t>
            </w:r>
          </w:p>
        </w:tc>
        <w:tc>
          <w:tcPr>
            <w:tcW w:w="1915"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n = 58, 33 CLBP and 25 healthy controls</w:t>
            </w:r>
          </w:p>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Age: 20 to 70 years</w:t>
            </w:r>
          </w:p>
        </w:tc>
        <w:tc>
          <w:tcPr>
            <w:tcW w:w="1915" w:type="dxa"/>
          </w:tcPr>
          <w:p w:rsidR="003F5C2B" w:rsidRPr="003F5C2B" w:rsidRDefault="003F5C2B" w:rsidP="00A61C7C">
            <w:pPr>
              <w:pStyle w:val="normal0"/>
              <w:spacing w:after="0" w:line="360" w:lineRule="auto"/>
              <w:rPr>
                <w:rFonts w:ascii="Arial" w:eastAsia="Gungsuh" w:hAnsi="Arial" w:cs="Arial"/>
                <w:color w:val="000000" w:themeColor="text1"/>
                <w:sz w:val="20"/>
                <w:szCs w:val="20"/>
              </w:rPr>
            </w:pPr>
            <w:r w:rsidRPr="003F5C2B">
              <w:rPr>
                <w:rFonts w:ascii="Arial" w:eastAsia="Times New Roman" w:hAnsi="Arial" w:cs="Arial"/>
                <w:color w:val="000000" w:themeColor="text1"/>
                <w:sz w:val="20"/>
                <w:szCs w:val="20"/>
              </w:rPr>
              <w:t xml:space="preserve">CLBP patients typically presented with maladaptive primary physical and secondary cognitive compensations for their pain disorders that become a mechanism for </w:t>
            </w:r>
            <w:r w:rsidRPr="003F5C2B">
              <w:rPr>
                <w:rFonts w:ascii="Arial" w:eastAsia="Times New Roman" w:hAnsi="Arial" w:cs="Arial"/>
                <w:color w:val="000000" w:themeColor="text1"/>
                <w:sz w:val="20"/>
                <w:szCs w:val="20"/>
              </w:rPr>
              <w:lastRenderedPageBreak/>
              <w:t>ongoing pain. For this group, specifically targeted physiotherapy interventions and cognitive behavior therapy, have the potential to impact on both the physical and cognitive drives of pain, leading to resolution of the disorder</w:t>
            </w:r>
          </w:p>
        </w:tc>
        <w:tc>
          <w:tcPr>
            <w:tcW w:w="1916"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highlight w:val="white"/>
              </w:rPr>
            </w:pPr>
            <w:r w:rsidRPr="003F5C2B">
              <w:rPr>
                <w:rFonts w:ascii="Arial" w:eastAsia="Times New Roman" w:hAnsi="Arial" w:cs="Arial"/>
                <w:b/>
                <w:color w:val="000000" w:themeColor="text1"/>
                <w:sz w:val="20"/>
                <w:szCs w:val="20"/>
              </w:rPr>
              <w:lastRenderedPageBreak/>
              <w:t>(WAIS-III):</w:t>
            </w:r>
            <w:r w:rsidRPr="003F5C2B">
              <w:rPr>
                <w:rFonts w:ascii="Arial" w:eastAsia="Times New Roman" w:hAnsi="Arial" w:cs="Arial"/>
                <w:color w:val="000000" w:themeColor="text1"/>
                <w:sz w:val="20"/>
                <w:szCs w:val="20"/>
                <w:highlight w:val="white"/>
              </w:rPr>
              <w:t xml:space="preserve"> test-retest reliabilities ranged from 0.70 (7 subscales) to 0.90 (2 subscales).</w:t>
            </w:r>
          </w:p>
          <w:p w:rsidR="003F5C2B" w:rsidRPr="003F5C2B" w:rsidRDefault="003F5C2B" w:rsidP="00A61C7C">
            <w:pPr>
              <w:pStyle w:val="normal0"/>
              <w:spacing w:after="0" w:line="360" w:lineRule="auto"/>
              <w:rPr>
                <w:rFonts w:ascii="Arial" w:eastAsia="Times New Roman" w:hAnsi="Arial" w:cs="Arial"/>
                <w:b/>
                <w:color w:val="000000" w:themeColor="text1"/>
                <w:sz w:val="20"/>
                <w:szCs w:val="20"/>
              </w:rPr>
            </w:pPr>
            <w:r w:rsidRPr="003F5C2B">
              <w:rPr>
                <w:rFonts w:ascii="Arial" w:eastAsia="Times New Roman" w:hAnsi="Arial" w:cs="Arial"/>
                <w:b/>
                <w:color w:val="000000" w:themeColor="text1"/>
                <w:sz w:val="20"/>
                <w:szCs w:val="20"/>
              </w:rPr>
              <w:t>CANTAB tests:</w:t>
            </w:r>
          </w:p>
          <w:p w:rsidR="003F5C2B" w:rsidRPr="003F5C2B" w:rsidRDefault="003F5C2B" w:rsidP="00A61C7C">
            <w:pPr>
              <w:pStyle w:val="normal0"/>
              <w:spacing w:after="0" w:line="360" w:lineRule="auto"/>
              <w:rPr>
                <w:rFonts w:ascii="Arial" w:eastAsia="Times New Roman" w:hAnsi="Arial" w:cs="Arial"/>
                <w:color w:val="000000" w:themeColor="text1"/>
                <w:sz w:val="20"/>
                <w:szCs w:val="20"/>
                <w:highlight w:val="white"/>
              </w:rPr>
            </w:pPr>
            <w:r w:rsidRPr="003F5C2B">
              <w:rPr>
                <w:rFonts w:ascii="Arial" w:eastAsia="Times New Roman" w:hAnsi="Arial" w:cs="Arial"/>
                <w:color w:val="000000" w:themeColor="text1"/>
                <w:sz w:val="20"/>
                <w:szCs w:val="20"/>
                <w:highlight w:val="white"/>
              </w:rPr>
              <w:t xml:space="preserve">Test-retest reliability = 0.71-0.89). </w:t>
            </w:r>
          </w:p>
          <w:p w:rsidR="003F5C2B" w:rsidRPr="003F5C2B" w:rsidRDefault="003F5C2B" w:rsidP="00A61C7C">
            <w:pPr>
              <w:pStyle w:val="normal0"/>
              <w:spacing w:after="0" w:line="360" w:lineRule="auto"/>
              <w:rPr>
                <w:rFonts w:ascii="Arial" w:eastAsia="Times New Roman" w:hAnsi="Arial" w:cs="Arial"/>
                <w:color w:val="000000" w:themeColor="text1"/>
                <w:sz w:val="20"/>
                <w:szCs w:val="20"/>
              </w:rPr>
            </w:pPr>
          </w:p>
        </w:tc>
      </w:tr>
      <w:tr w:rsidR="003F5C2B" w:rsidRPr="003F5C2B" w:rsidTr="00A61C7C">
        <w:tc>
          <w:tcPr>
            <w:tcW w:w="1915"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lastRenderedPageBreak/>
              <w:t>Cherkin DC, et al. 2017 [20]</w:t>
            </w:r>
          </w:p>
        </w:tc>
        <w:tc>
          <w:tcPr>
            <w:tcW w:w="1915"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Modified Roland Disability Questionnaire [RDQ]</w:t>
            </w:r>
          </w:p>
        </w:tc>
        <w:tc>
          <w:tcPr>
            <w:tcW w:w="1915"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n = 342 CLBP</w:t>
            </w:r>
          </w:p>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Age: 20-70 years</w:t>
            </w:r>
          </w:p>
        </w:tc>
        <w:tc>
          <w:tcPr>
            <w:tcW w:w="1915"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Gungsuh" w:hAnsi="Arial" w:cs="Arial"/>
                <w:color w:val="000000" w:themeColor="text1"/>
                <w:sz w:val="20"/>
                <w:szCs w:val="20"/>
              </w:rPr>
              <w:t>Participants randomized to CBT compared with usual care showed greater improvement in function (adjusted mean difference in change, -1.84 [95% CI, -3.32 to -0.37]). MBSR did not differ significantly from usual care or CBT at 2 years</w:t>
            </w:r>
          </w:p>
        </w:tc>
        <w:tc>
          <w:tcPr>
            <w:tcW w:w="1916"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rPr>
            </w:pPr>
          </w:p>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 xml:space="preserve">Test Retest reliability </w:t>
            </w:r>
            <w:r w:rsidRPr="003F5C2B">
              <w:rPr>
                <w:rFonts w:ascii="Arial" w:eastAsia="Times New Roman" w:hAnsi="Arial" w:cs="Arial"/>
                <w:color w:val="000000" w:themeColor="text1"/>
                <w:sz w:val="20"/>
                <w:szCs w:val="20"/>
                <w:highlight w:val="white"/>
              </w:rPr>
              <w:t>0.68-0.75</w:t>
            </w:r>
          </w:p>
        </w:tc>
      </w:tr>
      <w:tr w:rsidR="003F5C2B" w:rsidRPr="003F5C2B" w:rsidTr="00A61C7C">
        <w:trPr>
          <w:trHeight w:val="416"/>
        </w:trPr>
        <w:tc>
          <w:tcPr>
            <w:tcW w:w="1915"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Spindler M, et al. 2018 [13]</w:t>
            </w:r>
          </w:p>
        </w:tc>
        <w:tc>
          <w:tcPr>
            <w:tcW w:w="1915"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 xml:space="preserve">Allgemeine Depressionsskala (ADS-K) </w:t>
            </w:r>
          </w:p>
          <w:p w:rsidR="003F5C2B" w:rsidRPr="003F5C2B" w:rsidRDefault="003F5C2B" w:rsidP="00A61C7C">
            <w:pPr>
              <w:pStyle w:val="normal0"/>
              <w:spacing w:after="0" w:line="360" w:lineRule="auto"/>
              <w:rPr>
                <w:rFonts w:ascii="Arial" w:eastAsia="Times New Roman" w:hAnsi="Arial" w:cs="Arial"/>
                <w:color w:val="000000" w:themeColor="text1"/>
                <w:sz w:val="20"/>
                <w:szCs w:val="20"/>
              </w:rPr>
            </w:pPr>
          </w:p>
        </w:tc>
        <w:tc>
          <w:tcPr>
            <w:tcW w:w="1915"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n = 42 Chronic Pain(CP)</w:t>
            </w:r>
          </w:p>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Age: 33-68 years</w:t>
            </w:r>
          </w:p>
        </w:tc>
        <w:tc>
          <w:tcPr>
            <w:tcW w:w="1915"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 xml:space="preserve">This article presents new insight on which cognitive mechanisms are influenced by CP with the focus on </w:t>
            </w:r>
            <w:r w:rsidRPr="003F5C2B">
              <w:rPr>
                <w:rFonts w:ascii="Arial" w:eastAsia="Times New Roman" w:hAnsi="Arial" w:cs="Arial"/>
                <w:color w:val="000000" w:themeColor="text1"/>
                <w:sz w:val="20"/>
                <w:szCs w:val="20"/>
              </w:rPr>
              <w:lastRenderedPageBreak/>
              <w:t>numerical spatial abilities. It could therefore provide useful knowledge in developing new pain assessment tools specifically for patients suffering from CP.</w:t>
            </w:r>
          </w:p>
        </w:tc>
        <w:tc>
          <w:tcPr>
            <w:tcW w:w="1916"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highlight w:val="white"/>
              </w:rPr>
              <w:lastRenderedPageBreak/>
              <w:t>Cronbach's Alpha &gt; 0.90</w:t>
            </w:r>
          </w:p>
        </w:tc>
      </w:tr>
      <w:tr w:rsidR="003F5C2B" w:rsidRPr="003F5C2B" w:rsidTr="00A61C7C">
        <w:tc>
          <w:tcPr>
            <w:tcW w:w="1915"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lastRenderedPageBreak/>
              <w:t>Hampel P, 2019 [14]</w:t>
            </w:r>
          </w:p>
        </w:tc>
        <w:tc>
          <w:tcPr>
            <w:tcW w:w="1915"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German version of the Center for Epidemiological Studies Depression Scale (CES-D)</w:t>
            </w:r>
          </w:p>
        </w:tc>
        <w:tc>
          <w:tcPr>
            <w:tcW w:w="1915"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n = 583 CLBP</w:t>
            </w:r>
          </w:p>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Age: 28-64</w:t>
            </w:r>
          </w:p>
        </w:tc>
        <w:tc>
          <w:tcPr>
            <w:tcW w:w="1915"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Patients with high levels of depressive symptoms showed improvements in depressive symptoms and self-efficacy, supporting the psychological effectiveness of both interventions. However, the beneficial long-term effects of rehabilitation on work ability and pain-related DSL among the IG support implementation of combined pain competence and depression prevention training</w:t>
            </w:r>
          </w:p>
        </w:tc>
        <w:tc>
          <w:tcPr>
            <w:tcW w:w="1916" w:type="dxa"/>
          </w:tcPr>
          <w:p w:rsidR="003F5C2B" w:rsidRPr="003F5C2B" w:rsidRDefault="003F5C2B" w:rsidP="00A61C7C">
            <w:pPr>
              <w:pStyle w:val="normal0"/>
              <w:spacing w:after="0" w:line="360" w:lineRule="auto"/>
              <w:rPr>
                <w:rFonts w:ascii="Arial" w:eastAsia="Times New Roman" w:hAnsi="Arial" w:cs="Arial"/>
                <w:color w:val="000000" w:themeColor="text1"/>
                <w:sz w:val="20"/>
                <w:szCs w:val="20"/>
              </w:rPr>
            </w:pPr>
            <w:r w:rsidRPr="003F5C2B">
              <w:rPr>
                <w:rFonts w:ascii="Arial" w:eastAsia="Times New Roman" w:hAnsi="Arial" w:cs="Arial"/>
                <w:color w:val="000000" w:themeColor="text1"/>
                <w:sz w:val="20"/>
                <w:szCs w:val="20"/>
              </w:rPr>
              <w:t>Cronbach’s α = 0.91</w:t>
            </w:r>
          </w:p>
        </w:tc>
      </w:tr>
    </w:tbl>
    <w:p w:rsidR="003F5C2B" w:rsidRPr="003F5C2B" w:rsidRDefault="003F5C2B" w:rsidP="003F5C2B">
      <w:pPr>
        <w:spacing w:after="0" w:line="360" w:lineRule="auto"/>
        <w:rPr>
          <w:rFonts w:ascii="Arial" w:eastAsia="Times New Roman" w:hAnsi="Arial" w:cs="Arial"/>
          <w:b/>
          <w:color w:val="000000" w:themeColor="text1"/>
          <w:sz w:val="20"/>
          <w:szCs w:val="20"/>
        </w:rPr>
      </w:pPr>
    </w:p>
    <w:p w:rsidR="003F5C2B" w:rsidRPr="003F5C2B" w:rsidRDefault="003F5C2B" w:rsidP="003F5C2B">
      <w:pPr>
        <w:spacing w:after="0" w:line="360" w:lineRule="auto"/>
        <w:rPr>
          <w:rFonts w:ascii="Arial" w:hAnsi="Arial" w:cs="Arial"/>
          <w:color w:val="000000" w:themeColor="text1"/>
          <w:sz w:val="20"/>
          <w:szCs w:val="20"/>
        </w:rPr>
      </w:pPr>
      <w:r w:rsidRPr="003F5C2B">
        <w:rPr>
          <w:rFonts w:ascii="Arial" w:eastAsia="Times New Roman" w:hAnsi="Arial" w:cs="Arial"/>
          <w:color w:val="000000" w:themeColor="text1"/>
          <w:sz w:val="20"/>
          <w:szCs w:val="20"/>
          <w:vertAlign w:val="superscript"/>
        </w:rPr>
        <w:t>1</w:t>
      </w:r>
      <w:r w:rsidRPr="003F5C2B">
        <w:rPr>
          <w:rFonts w:ascii="Arial" w:hAnsi="Arial" w:cs="Arial"/>
          <w:color w:val="000000" w:themeColor="text1"/>
          <w:sz w:val="20"/>
          <w:szCs w:val="20"/>
        </w:rPr>
        <w:t>Various outcome measures and their psychometric properties used for assessing cognition in CLBP.</w:t>
      </w:r>
    </w:p>
    <w:p w:rsidR="003F5C2B" w:rsidRPr="003F5C2B" w:rsidRDefault="003F5C2B" w:rsidP="003F5C2B">
      <w:pPr>
        <w:spacing w:after="0" w:line="360" w:lineRule="auto"/>
        <w:rPr>
          <w:rFonts w:ascii="Arial" w:hAnsi="Arial" w:cs="Arial"/>
          <w:color w:val="000000" w:themeColor="text1"/>
          <w:sz w:val="20"/>
          <w:szCs w:val="20"/>
        </w:rPr>
      </w:pPr>
      <w:r w:rsidRPr="003F5C2B">
        <w:rPr>
          <w:rFonts w:ascii="Arial" w:hAnsi="Arial" w:cs="Arial"/>
          <w:color w:val="000000" w:themeColor="text1"/>
          <w:sz w:val="20"/>
          <w:szCs w:val="20"/>
          <w:vertAlign w:val="superscript"/>
        </w:rPr>
        <w:t>2</w:t>
      </w:r>
      <w:r w:rsidRPr="003F5C2B">
        <w:rPr>
          <w:rFonts w:ascii="Arial" w:hAnsi="Arial" w:cs="Arial"/>
          <w:color w:val="000000" w:themeColor="text1"/>
          <w:sz w:val="20"/>
          <w:szCs w:val="20"/>
        </w:rPr>
        <w:t>survey of pain attitudes (SOPA)</w:t>
      </w:r>
    </w:p>
    <w:p w:rsidR="003F5C2B" w:rsidRPr="003F5C2B" w:rsidRDefault="003F5C2B" w:rsidP="003F5C2B">
      <w:pPr>
        <w:spacing w:after="0" w:line="360" w:lineRule="auto"/>
        <w:rPr>
          <w:rFonts w:ascii="Arial" w:hAnsi="Arial" w:cs="Arial"/>
          <w:color w:val="000000" w:themeColor="text1"/>
          <w:sz w:val="20"/>
          <w:szCs w:val="20"/>
        </w:rPr>
      </w:pPr>
      <w:r w:rsidRPr="003F5C2B">
        <w:rPr>
          <w:rFonts w:ascii="Arial" w:hAnsi="Arial" w:cs="Arial"/>
          <w:color w:val="000000" w:themeColor="text1"/>
          <w:sz w:val="20"/>
          <w:szCs w:val="20"/>
        </w:rPr>
        <w:lastRenderedPageBreak/>
        <w:t>The pain catastrophising scale (PCS)</w:t>
      </w:r>
    </w:p>
    <w:p w:rsidR="003F5C2B" w:rsidRPr="003F5C2B" w:rsidRDefault="003F5C2B" w:rsidP="003F5C2B">
      <w:pPr>
        <w:spacing w:after="0" w:line="360" w:lineRule="auto"/>
        <w:rPr>
          <w:rFonts w:ascii="Arial" w:hAnsi="Arial" w:cs="Arial"/>
          <w:color w:val="000000" w:themeColor="text1"/>
          <w:sz w:val="20"/>
          <w:szCs w:val="20"/>
        </w:rPr>
      </w:pPr>
      <w:r w:rsidRPr="003F5C2B">
        <w:rPr>
          <w:rFonts w:ascii="Arial" w:hAnsi="Arial" w:cs="Arial"/>
          <w:color w:val="000000" w:themeColor="text1"/>
          <w:sz w:val="20"/>
          <w:szCs w:val="20"/>
        </w:rPr>
        <w:t>Goal Systems Assessment Battery (GSAB)</w:t>
      </w:r>
    </w:p>
    <w:p w:rsidR="003F5C2B" w:rsidRPr="003F5C2B" w:rsidRDefault="003F5C2B" w:rsidP="003F5C2B">
      <w:pPr>
        <w:spacing w:after="0" w:line="360" w:lineRule="auto"/>
        <w:rPr>
          <w:rFonts w:ascii="Arial" w:hAnsi="Arial" w:cs="Arial"/>
          <w:color w:val="000000" w:themeColor="text1"/>
          <w:sz w:val="20"/>
          <w:szCs w:val="20"/>
        </w:rPr>
      </w:pPr>
      <w:r w:rsidRPr="003F5C2B">
        <w:rPr>
          <w:rFonts w:ascii="Arial" w:hAnsi="Arial" w:cs="Arial"/>
          <w:color w:val="000000" w:themeColor="text1"/>
          <w:sz w:val="20"/>
          <w:szCs w:val="20"/>
        </w:rPr>
        <w:t>Center for Epidemiological Studies Depression Scale (CES-D)</w:t>
      </w:r>
    </w:p>
    <w:p w:rsidR="003F5C2B" w:rsidRPr="003F5C2B" w:rsidRDefault="003F5C2B" w:rsidP="003F5C2B">
      <w:pPr>
        <w:spacing w:after="0" w:line="360" w:lineRule="auto"/>
        <w:rPr>
          <w:rFonts w:ascii="Arial" w:hAnsi="Arial" w:cs="Arial"/>
          <w:color w:val="000000" w:themeColor="text1"/>
          <w:sz w:val="20"/>
          <w:szCs w:val="20"/>
        </w:rPr>
      </w:pPr>
      <w:r w:rsidRPr="003F5C2B">
        <w:rPr>
          <w:rFonts w:ascii="Arial" w:hAnsi="Arial" w:cs="Arial"/>
          <w:color w:val="000000" w:themeColor="text1"/>
          <w:sz w:val="20"/>
          <w:szCs w:val="20"/>
        </w:rPr>
        <w:t>Visual analogue scale (VAS)</w:t>
      </w:r>
    </w:p>
    <w:p w:rsidR="003F5C2B" w:rsidRPr="003F5C2B" w:rsidRDefault="003F5C2B" w:rsidP="003F5C2B">
      <w:pPr>
        <w:spacing w:after="0" w:line="360" w:lineRule="auto"/>
        <w:rPr>
          <w:rFonts w:ascii="Arial" w:hAnsi="Arial" w:cs="Arial"/>
          <w:color w:val="000000" w:themeColor="text1"/>
          <w:sz w:val="20"/>
          <w:szCs w:val="20"/>
        </w:rPr>
      </w:pPr>
      <w:r w:rsidRPr="003F5C2B">
        <w:rPr>
          <w:rFonts w:ascii="Arial" w:hAnsi="Arial" w:cs="Arial"/>
          <w:color w:val="000000" w:themeColor="text1"/>
          <w:sz w:val="20"/>
          <w:szCs w:val="20"/>
        </w:rPr>
        <w:t>Contextual Memory Test (CMT)</w:t>
      </w:r>
    </w:p>
    <w:p w:rsidR="003F5C2B" w:rsidRPr="003F5C2B" w:rsidRDefault="003F5C2B" w:rsidP="003F5C2B">
      <w:pPr>
        <w:spacing w:after="0" w:line="360" w:lineRule="auto"/>
        <w:rPr>
          <w:rFonts w:ascii="Arial" w:hAnsi="Arial" w:cs="Arial"/>
          <w:color w:val="000000" w:themeColor="text1"/>
          <w:sz w:val="20"/>
          <w:szCs w:val="20"/>
        </w:rPr>
      </w:pPr>
      <w:r w:rsidRPr="003F5C2B">
        <w:rPr>
          <w:rFonts w:ascii="Arial" w:hAnsi="Arial" w:cs="Arial"/>
          <w:color w:val="000000" w:themeColor="text1"/>
          <w:sz w:val="20"/>
          <w:szCs w:val="20"/>
        </w:rPr>
        <w:t>Multiple choice vocabulary test (MWT-B, 17)</w:t>
      </w:r>
    </w:p>
    <w:p w:rsidR="003F5C2B" w:rsidRPr="003F5C2B" w:rsidRDefault="003F5C2B" w:rsidP="003F5C2B">
      <w:pPr>
        <w:spacing w:after="0" w:line="360" w:lineRule="auto"/>
        <w:rPr>
          <w:rFonts w:ascii="Arial" w:hAnsi="Arial" w:cs="Arial"/>
          <w:color w:val="000000" w:themeColor="text1"/>
          <w:sz w:val="20"/>
          <w:szCs w:val="20"/>
        </w:rPr>
      </w:pPr>
      <w:r w:rsidRPr="003F5C2B">
        <w:rPr>
          <w:rFonts w:ascii="Arial" w:hAnsi="Arial" w:cs="Arial"/>
          <w:color w:val="000000" w:themeColor="text1"/>
          <w:sz w:val="20"/>
          <w:szCs w:val="20"/>
        </w:rPr>
        <w:t>Wechsler Adult Intelligence Scale (WAIS-III)</w:t>
      </w:r>
    </w:p>
    <w:p w:rsidR="003F5C2B" w:rsidRPr="003F5C2B" w:rsidRDefault="003F5C2B" w:rsidP="003F5C2B">
      <w:pPr>
        <w:spacing w:after="0" w:line="360" w:lineRule="auto"/>
        <w:rPr>
          <w:rFonts w:ascii="Arial" w:hAnsi="Arial" w:cs="Arial"/>
          <w:color w:val="000000" w:themeColor="text1"/>
          <w:sz w:val="20"/>
          <w:szCs w:val="20"/>
        </w:rPr>
      </w:pPr>
      <w:r w:rsidRPr="003F5C2B">
        <w:rPr>
          <w:rFonts w:ascii="Arial" w:hAnsi="Arial" w:cs="Arial"/>
          <w:color w:val="000000" w:themeColor="text1"/>
          <w:sz w:val="20"/>
          <w:szCs w:val="20"/>
        </w:rPr>
        <w:t>Trail-making test (TMT)</w:t>
      </w:r>
    </w:p>
    <w:p w:rsidR="003F5C2B" w:rsidRPr="003F5C2B" w:rsidRDefault="003F5C2B" w:rsidP="003F5C2B">
      <w:pPr>
        <w:spacing w:after="0" w:line="360" w:lineRule="auto"/>
        <w:rPr>
          <w:rFonts w:ascii="Arial" w:hAnsi="Arial" w:cs="Arial"/>
          <w:color w:val="000000" w:themeColor="text1"/>
          <w:sz w:val="20"/>
          <w:szCs w:val="20"/>
        </w:rPr>
      </w:pPr>
      <w:r w:rsidRPr="003F5C2B">
        <w:rPr>
          <w:rFonts w:ascii="Arial" w:hAnsi="Arial" w:cs="Arial"/>
          <w:color w:val="000000" w:themeColor="text1"/>
          <w:sz w:val="20"/>
          <w:szCs w:val="20"/>
        </w:rPr>
        <w:t>Modified Roland Disability Questionnaire [RDQ]</w:t>
      </w:r>
    </w:p>
    <w:p w:rsidR="005F0787" w:rsidRPr="003F5C2B" w:rsidRDefault="003F5C2B">
      <w:pPr>
        <w:rPr>
          <w:rFonts w:ascii="Arial" w:hAnsi="Arial" w:cs="Arial"/>
          <w:color w:val="000000" w:themeColor="text1"/>
          <w:sz w:val="20"/>
          <w:szCs w:val="20"/>
        </w:rPr>
      </w:pPr>
    </w:p>
    <w:sectPr w:rsidR="005F0787" w:rsidRPr="003F5C2B" w:rsidSect="002A01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C2B"/>
    <w:rsid w:val="000D54DA"/>
    <w:rsid w:val="003F5C2B"/>
    <w:rsid w:val="00CD39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777DE-B6D3-4A8B-AFD8-4FCB7A3D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C2B"/>
    <w:pPr>
      <w:spacing w:after="200" w:line="276"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F5C2B"/>
    <w:pPr>
      <w:spacing w:after="200" w:line="276"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670</Words>
  <Characters>3821</Characters>
  <Application>Microsoft Office Word</Application>
  <DocSecurity>0</DocSecurity>
  <Lines>31</Lines>
  <Paragraphs>8</Paragraphs>
  <ScaleCrop>false</ScaleCrop>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2020-10-14T05:33:00Z</dcterms:created>
  <dcterms:modified xsi:type="dcterms:W3CDTF">2020-10-14T05:34:00Z</dcterms:modified>
</cp:coreProperties>
</file>