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405E" w14:textId="77777777" w:rsidR="008A20CF" w:rsidRPr="00EC1048" w:rsidRDefault="008A20CF" w:rsidP="008A20CF">
      <w:pPr>
        <w:spacing w:line="480" w:lineRule="auto"/>
        <w:rPr>
          <w:b/>
          <w:sz w:val="20"/>
          <w:szCs w:val="20"/>
        </w:rPr>
      </w:pPr>
      <w:r w:rsidRPr="00EC1048">
        <w:rPr>
          <w:b/>
          <w:sz w:val="20"/>
          <w:szCs w:val="20"/>
        </w:rPr>
        <w:t>Appendix Table 1</w:t>
      </w:r>
      <w:r>
        <w:rPr>
          <w:b/>
          <w:sz w:val="20"/>
          <w:szCs w:val="20"/>
        </w:rPr>
        <w:t>:</w:t>
      </w:r>
      <w:r w:rsidRPr="00EC1048">
        <w:rPr>
          <w:b/>
          <w:sz w:val="20"/>
          <w:szCs w:val="20"/>
        </w:rPr>
        <w:t xml:space="preserve"> </w:t>
      </w:r>
      <w:r w:rsidRPr="00EC1048">
        <w:rPr>
          <w:sz w:val="20"/>
          <w:szCs w:val="20"/>
        </w:rPr>
        <w:t>Themes and subthemes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340"/>
        <w:gridCol w:w="5480"/>
      </w:tblGrid>
      <w:tr w:rsidR="008A20CF" w:rsidRPr="00EC1048" w14:paraId="4854682A" w14:textId="77777777" w:rsidTr="00533B0D">
        <w:tc>
          <w:tcPr>
            <w:tcW w:w="1530" w:type="dxa"/>
            <w:shd w:val="clear" w:color="auto" w:fill="auto"/>
          </w:tcPr>
          <w:p w14:paraId="3836F3E6" w14:textId="77777777" w:rsidR="008A20CF" w:rsidRPr="00EC1048" w:rsidRDefault="008A20CF" w:rsidP="00533B0D">
            <w:pPr>
              <w:rPr>
                <w:b/>
                <w:sz w:val="20"/>
                <w:szCs w:val="20"/>
              </w:rPr>
            </w:pPr>
            <w:r w:rsidRPr="00EC1048">
              <w:rPr>
                <w:b/>
                <w:sz w:val="20"/>
                <w:szCs w:val="20"/>
              </w:rPr>
              <w:t>Main Theme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F37806B" w14:textId="77777777" w:rsidR="008A20CF" w:rsidRPr="00EC1048" w:rsidRDefault="008A20CF" w:rsidP="00533B0D">
            <w:pPr>
              <w:jc w:val="center"/>
              <w:rPr>
                <w:b/>
                <w:sz w:val="20"/>
                <w:szCs w:val="20"/>
              </w:rPr>
            </w:pPr>
            <w:r w:rsidRPr="00EC1048">
              <w:rPr>
                <w:b/>
                <w:sz w:val="20"/>
                <w:szCs w:val="20"/>
              </w:rPr>
              <w:t>Subtheme 1</w:t>
            </w:r>
          </w:p>
        </w:tc>
        <w:tc>
          <w:tcPr>
            <w:tcW w:w="5480" w:type="dxa"/>
            <w:shd w:val="clear" w:color="auto" w:fill="auto"/>
            <w:vAlign w:val="bottom"/>
          </w:tcPr>
          <w:p w14:paraId="7F4655BE" w14:textId="77777777" w:rsidR="008A20CF" w:rsidRPr="00EC1048" w:rsidRDefault="008A20CF" w:rsidP="00533B0D">
            <w:pPr>
              <w:jc w:val="center"/>
              <w:rPr>
                <w:b/>
                <w:sz w:val="20"/>
                <w:szCs w:val="20"/>
              </w:rPr>
            </w:pPr>
            <w:r w:rsidRPr="00EC1048">
              <w:rPr>
                <w:b/>
                <w:sz w:val="20"/>
                <w:szCs w:val="20"/>
              </w:rPr>
              <w:t>Subtheme 2</w:t>
            </w:r>
          </w:p>
        </w:tc>
      </w:tr>
      <w:tr w:rsidR="008A20CF" w:rsidRPr="00EC1048" w14:paraId="74126889" w14:textId="77777777" w:rsidTr="00533B0D">
        <w:trPr>
          <w:trHeight w:val="26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692CDCC3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Change and transition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1E05F2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At the individual level</w:t>
            </w:r>
          </w:p>
        </w:tc>
        <w:tc>
          <w:tcPr>
            <w:tcW w:w="5480" w:type="dxa"/>
            <w:shd w:val="clear" w:color="auto" w:fill="auto"/>
          </w:tcPr>
          <w:p w14:paraId="0FD6FE57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Impact of major life changes in the past/present/future</w:t>
            </w:r>
          </w:p>
          <w:p w14:paraId="45E818F6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Hierarchy of needs (prioritization in times of instability)</w:t>
            </w:r>
          </w:p>
        </w:tc>
      </w:tr>
      <w:tr w:rsidR="008A20CF" w:rsidRPr="00EC1048" w14:paraId="230352C8" w14:textId="77777777" w:rsidTr="00533B0D">
        <w:trPr>
          <w:trHeight w:val="188"/>
        </w:trPr>
        <w:tc>
          <w:tcPr>
            <w:tcW w:w="1530" w:type="dxa"/>
            <w:vMerge/>
            <w:shd w:val="clear" w:color="auto" w:fill="auto"/>
            <w:vAlign w:val="center"/>
          </w:tcPr>
          <w:p w14:paraId="01414171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782E4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At the community level</w:t>
            </w:r>
          </w:p>
        </w:tc>
        <w:tc>
          <w:tcPr>
            <w:tcW w:w="5480" w:type="dxa"/>
            <w:shd w:val="clear" w:color="auto" w:fill="auto"/>
          </w:tcPr>
          <w:p w14:paraId="0094CD77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“Changing face of a community”</w:t>
            </w:r>
          </w:p>
          <w:p w14:paraId="679B017B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Availability of resources</w:t>
            </w:r>
          </w:p>
          <w:p w14:paraId="4094AED1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Economic dislocation (gentrification/degeneration)</w:t>
            </w:r>
          </w:p>
        </w:tc>
      </w:tr>
      <w:tr w:rsidR="008A20CF" w:rsidRPr="00EC1048" w14:paraId="6A9D222B" w14:textId="77777777" w:rsidTr="00533B0D">
        <w:trPr>
          <w:trHeight w:val="187"/>
        </w:trPr>
        <w:tc>
          <w:tcPr>
            <w:tcW w:w="1530" w:type="dxa"/>
            <w:vMerge/>
            <w:shd w:val="clear" w:color="auto" w:fill="auto"/>
            <w:vAlign w:val="center"/>
          </w:tcPr>
          <w:p w14:paraId="518B87BD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0E349A1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At the societal level</w:t>
            </w:r>
          </w:p>
        </w:tc>
        <w:tc>
          <w:tcPr>
            <w:tcW w:w="5480" w:type="dxa"/>
            <w:shd w:val="clear" w:color="auto" w:fill="auto"/>
          </w:tcPr>
          <w:p w14:paraId="5A8C9BE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Change as a promoter of physical and emotional well-being</w:t>
            </w:r>
          </w:p>
          <w:p w14:paraId="5F44B9EA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Change as a generator of fear about the future</w:t>
            </w:r>
          </w:p>
        </w:tc>
      </w:tr>
      <w:tr w:rsidR="008A20CF" w:rsidRPr="00EC1048" w14:paraId="6F85B24B" w14:textId="77777777" w:rsidTr="00533B0D">
        <w:tc>
          <w:tcPr>
            <w:tcW w:w="1530" w:type="dxa"/>
            <w:vMerge/>
            <w:shd w:val="clear" w:color="auto" w:fill="auto"/>
            <w:vAlign w:val="center"/>
          </w:tcPr>
          <w:p w14:paraId="2934B57F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62395DC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Individual innovation</w:t>
            </w:r>
          </w:p>
        </w:tc>
        <w:tc>
          <w:tcPr>
            <w:tcW w:w="5480" w:type="dxa"/>
            <w:shd w:val="clear" w:color="auto" w:fill="auto"/>
          </w:tcPr>
          <w:p w14:paraId="7E39191F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Adaptation and resilience</w:t>
            </w:r>
          </w:p>
        </w:tc>
      </w:tr>
      <w:tr w:rsidR="008A20CF" w:rsidRPr="00EC1048" w14:paraId="5E772C22" w14:textId="77777777" w:rsidTr="00533B0D">
        <w:trPr>
          <w:trHeight w:val="8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7715E725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Social relations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51790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Nourishing tradition</w:t>
            </w:r>
            <w:bookmarkStart w:id="0" w:name="_GoBack"/>
            <w:bookmarkEnd w:id="0"/>
            <w:r w:rsidRPr="007F6893">
              <w:rPr>
                <w:sz w:val="20"/>
                <w:szCs w:val="20"/>
              </w:rPr>
              <w:t>s</w:t>
            </w:r>
          </w:p>
        </w:tc>
        <w:tc>
          <w:tcPr>
            <w:tcW w:w="5480" w:type="dxa"/>
            <w:shd w:val="clear" w:color="auto" w:fill="auto"/>
          </w:tcPr>
          <w:p w14:paraId="369D658D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Southern food culture</w:t>
            </w:r>
          </w:p>
          <w:p w14:paraId="4F4DA1CC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African American food culture</w:t>
            </w:r>
          </w:p>
          <w:p w14:paraId="7044E533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Food as a social connector</w:t>
            </w:r>
          </w:p>
          <w:p w14:paraId="1E19CA6B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Food buying and preparation rituals and habits</w:t>
            </w:r>
          </w:p>
        </w:tc>
      </w:tr>
      <w:tr w:rsidR="008A20CF" w:rsidRPr="00EC1048" w14:paraId="3CD76B8F" w14:textId="77777777" w:rsidTr="00533B0D">
        <w:trPr>
          <w:trHeight w:val="85"/>
        </w:trPr>
        <w:tc>
          <w:tcPr>
            <w:tcW w:w="1530" w:type="dxa"/>
            <w:vMerge/>
            <w:shd w:val="clear" w:color="auto" w:fill="auto"/>
            <w:vAlign w:val="center"/>
          </w:tcPr>
          <w:p w14:paraId="1CE4F636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6C631A3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Support networks</w:t>
            </w:r>
          </w:p>
        </w:tc>
        <w:tc>
          <w:tcPr>
            <w:tcW w:w="5480" w:type="dxa"/>
            <w:shd w:val="clear" w:color="auto" w:fill="auto"/>
          </w:tcPr>
          <w:p w14:paraId="4C6B00A6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Bartering economies</w:t>
            </w:r>
          </w:p>
          <w:p w14:paraId="4004B041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Peer information (those outside the health care network)</w:t>
            </w:r>
          </w:p>
          <w:p w14:paraId="0EEA803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Church and religious institutions</w:t>
            </w:r>
          </w:p>
          <w:p w14:paraId="55446B5B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Social bonds and community</w:t>
            </w:r>
          </w:p>
        </w:tc>
      </w:tr>
      <w:tr w:rsidR="008A20CF" w:rsidRPr="00EC1048" w14:paraId="5B2FB397" w14:textId="77777777" w:rsidTr="00533B0D">
        <w:trPr>
          <w:trHeight w:val="85"/>
        </w:trPr>
        <w:tc>
          <w:tcPr>
            <w:tcW w:w="1530" w:type="dxa"/>
            <w:vMerge/>
            <w:shd w:val="clear" w:color="auto" w:fill="auto"/>
            <w:vAlign w:val="center"/>
          </w:tcPr>
          <w:p w14:paraId="2F461D33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FDAF59C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Peer appearance</w:t>
            </w:r>
          </w:p>
        </w:tc>
        <w:tc>
          <w:tcPr>
            <w:tcW w:w="5480" w:type="dxa"/>
            <w:shd w:val="clear" w:color="auto" w:fill="auto"/>
          </w:tcPr>
          <w:p w14:paraId="7E0D3178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Perception of self and other (“I am better/worse than others”)</w:t>
            </w:r>
          </w:p>
        </w:tc>
      </w:tr>
      <w:tr w:rsidR="008A20CF" w:rsidRPr="00EC1048" w14:paraId="1DAAB358" w14:textId="77777777" w:rsidTr="00533B0D">
        <w:trPr>
          <w:trHeight w:val="8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50099061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Time and monetary constraints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F4C1FE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Time constraints</w:t>
            </w:r>
          </w:p>
        </w:tc>
        <w:tc>
          <w:tcPr>
            <w:tcW w:w="5480" w:type="dxa"/>
            <w:shd w:val="clear" w:color="auto" w:fill="auto"/>
          </w:tcPr>
          <w:p w14:paraId="5DC2DE33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Work and work-related activities dominate daily life</w:t>
            </w:r>
          </w:p>
          <w:p w14:paraId="17D33BD2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Hierarchies of needs and wants (available energy to do tasks that go beyond the essentials)</w:t>
            </w:r>
          </w:p>
        </w:tc>
      </w:tr>
      <w:tr w:rsidR="008A20CF" w:rsidRPr="00EC1048" w14:paraId="157575BF" w14:textId="77777777" w:rsidTr="00533B0D">
        <w:trPr>
          <w:trHeight w:val="85"/>
        </w:trPr>
        <w:tc>
          <w:tcPr>
            <w:tcW w:w="1530" w:type="dxa"/>
            <w:vMerge/>
            <w:shd w:val="clear" w:color="auto" w:fill="auto"/>
            <w:vAlign w:val="center"/>
          </w:tcPr>
          <w:p w14:paraId="38AEF875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7E70E7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Caring for dependents</w:t>
            </w:r>
          </w:p>
        </w:tc>
        <w:tc>
          <w:tcPr>
            <w:tcW w:w="5480" w:type="dxa"/>
            <w:shd w:val="clear" w:color="auto" w:fill="auto"/>
          </w:tcPr>
          <w:p w14:paraId="2CBE23F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Major contributor to time constraints in sample and significant stressor</w:t>
            </w:r>
          </w:p>
        </w:tc>
      </w:tr>
      <w:tr w:rsidR="008A20CF" w:rsidRPr="00EC1048" w14:paraId="4A15E761" w14:textId="77777777" w:rsidTr="00533B0D">
        <w:trPr>
          <w:trHeight w:val="128"/>
        </w:trPr>
        <w:tc>
          <w:tcPr>
            <w:tcW w:w="1530" w:type="dxa"/>
            <w:vMerge/>
            <w:shd w:val="clear" w:color="auto" w:fill="auto"/>
            <w:vAlign w:val="center"/>
          </w:tcPr>
          <w:p w14:paraId="5632E5C5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9A5980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 xml:space="preserve">(Competing) </w:t>
            </w:r>
            <w:r w:rsidRPr="007F6893">
              <w:rPr>
                <w:sz w:val="20"/>
                <w:szCs w:val="20"/>
              </w:rPr>
              <w:br/>
              <w:t>comorbidities</w:t>
            </w:r>
          </w:p>
        </w:tc>
        <w:tc>
          <w:tcPr>
            <w:tcW w:w="5480" w:type="dxa"/>
            <w:shd w:val="clear" w:color="auto" w:fill="auto"/>
          </w:tcPr>
          <w:p w14:paraId="60C6EA43" w14:textId="77777777" w:rsidR="008A20CF" w:rsidRPr="007F6893" w:rsidRDefault="008A20CF" w:rsidP="00533B0D">
            <w:pPr>
              <w:pStyle w:val="ListParagraph"/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20CF" w:rsidRPr="00EC1048" w14:paraId="029F3229" w14:textId="77777777" w:rsidTr="00533B0D">
        <w:trPr>
          <w:trHeight w:val="127"/>
        </w:trPr>
        <w:tc>
          <w:tcPr>
            <w:tcW w:w="1530" w:type="dxa"/>
            <w:vMerge/>
            <w:shd w:val="clear" w:color="auto" w:fill="auto"/>
            <w:vAlign w:val="center"/>
          </w:tcPr>
          <w:p w14:paraId="455A4250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2AEDB3E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Financial constraints</w:t>
            </w:r>
          </w:p>
        </w:tc>
        <w:tc>
          <w:tcPr>
            <w:tcW w:w="5480" w:type="dxa"/>
            <w:shd w:val="clear" w:color="auto" w:fill="auto"/>
          </w:tcPr>
          <w:p w14:paraId="791DADBD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Directly affect what is feasible in terms of healthy diet and health care</w:t>
            </w:r>
          </w:p>
        </w:tc>
      </w:tr>
      <w:tr w:rsidR="008A20CF" w:rsidRPr="00EC1048" w14:paraId="22C3A48C" w14:textId="77777777" w:rsidTr="00533B0D">
        <w:trPr>
          <w:trHeight w:val="8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3054042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Physical environment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30C516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Local givens</w:t>
            </w:r>
          </w:p>
        </w:tc>
        <w:tc>
          <w:tcPr>
            <w:tcW w:w="5480" w:type="dxa"/>
            <w:shd w:val="clear" w:color="auto" w:fill="auto"/>
          </w:tcPr>
          <w:p w14:paraId="440590D8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Climate, safety, pollution</w:t>
            </w:r>
          </w:p>
          <w:p w14:paraId="24927C9F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Neighborhood atmosphere and reputation (“poverty ZIP code”)</w:t>
            </w:r>
          </w:p>
        </w:tc>
      </w:tr>
      <w:tr w:rsidR="008A20CF" w:rsidRPr="00EC1048" w14:paraId="6B7F64BC" w14:textId="77777777" w:rsidTr="00533B0D">
        <w:trPr>
          <w:trHeight w:val="85"/>
        </w:trPr>
        <w:tc>
          <w:tcPr>
            <w:tcW w:w="1530" w:type="dxa"/>
            <w:vMerge/>
            <w:shd w:val="clear" w:color="auto" w:fill="auto"/>
            <w:vAlign w:val="center"/>
          </w:tcPr>
          <w:p w14:paraId="468C5EF5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223BD84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Built (urban) environment</w:t>
            </w:r>
          </w:p>
        </w:tc>
        <w:tc>
          <w:tcPr>
            <w:tcW w:w="5480" w:type="dxa"/>
            <w:shd w:val="clear" w:color="auto" w:fill="auto"/>
          </w:tcPr>
          <w:p w14:paraId="002A22A3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Challenges of built environment</w:t>
            </w:r>
          </w:p>
        </w:tc>
      </w:tr>
      <w:tr w:rsidR="008A20CF" w:rsidRPr="00EC1048" w14:paraId="016405FD" w14:textId="77777777" w:rsidTr="00533B0D">
        <w:trPr>
          <w:trHeight w:val="85"/>
        </w:trPr>
        <w:tc>
          <w:tcPr>
            <w:tcW w:w="1530" w:type="dxa"/>
            <w:vMerge/>
            <w:shd w:val="clear" w:color="auto" w:fill="auto"/>
            <w:vAlign w:val="center"/>
          </w:tcPr>
          <w:p w14:paraId="11486FDF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2F86B58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Urban gardening</w:t>
            </w:r>
          </w:p>
        </w:tc>
        <w:tc>
          <w:tcPr>
            <w:tcW w:w="5480" w:type="dxa"/>
            <w:shd w:val="clear" w:color="auto" w:fill="auto"/>
          </w:tcPr>
          <w:p w14:paraId="2F3AE4B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Own/community garden</w:t>
            </w:r>
          </w:p>
        </w:tc>
      </w:tr>
      <w:tr w:rsidR="008A20CF" w:rsidRPr="00EC1048" w14:paraId="1954ACBF" w14:textId="77777777" w:rsidTr="00533B0D">
        <w:trPr>
          <w:trHeight w:val="66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75466A69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 xml:space="preserve">Health knowledge </w:t>
            </w:r>
            <w:r w:rsidRPr="007F6893">
              <w:rPr>
                <w:sz w:val="20"/>
                <w:szCs w:val="20"/>
              </w:rPr>
              <w:br/>
              <w:t>and beliefs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6D447E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(Un)healthy habits</w:t>
            </w:r>
          </w:p>
        </w:tc>
        <w:tc>
          <w:tcPr>
            <w:tcW w:w="5480" w:type="dxa"/>
            <w:shd w:val="clear" w:color="auto" w:fill="auto"/>
          </w:tcPr>
          <w:p w14:paraId="5FE96F03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“Either/or” approach to health and fitness (conscious or subconscious)</w:t>
            </w:r>
          </w:p>
        </w:tc>
      </w:tr>
      <w:tr w:rsidR="008A20CF" w:rsidRPr="00EC1048" w14:paraId="0CF37E1B" w14:textId="77777777" w:rsidTr="00533B0D">
        <w:trPr>
          <w:trHeight w:val="63"/>
        </w:trPr>
        <w:tc>
          <w:tcPr>
            <w:tcW w:w="1530" w:type="dxa"/>
            <w:vMerge/>
            <w:shd w:val="clear" w:color="auto" w:fill="auto"/>
            <w:vAlign w:val="center"/>
          </w:tcPr>
          <w:p w14:paraId="6073C904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4F3900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Education</w:t>
            </w:r>
          </w:p>
        </w:tc>
        <w:tc>
          <w:tcPr>
            <w:tcW w:w="5480" w:type="dxa"/>
            <w:shd w:val="clear" w:color="auto" w:fill="auto"/>
          </w:tcPr>
          <w:p w14:paraId="1EE9DDED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More public health education does not mean healthier citizens</w:t>
            </w:r>
          </w:p>
        </w:tc>
      </w:tr>
      <w:tr w:rsidR="008A20CF" w:rsidRPr="00EC1048" w14:paraId="74FFA888" w14:textId="77777777" w:rsidTr="00533B0D">
        <w:trPr>
          <w:trHeight w:val="63"/>
        </w:trPr>
        <w:tc>
          <w:tcPr>
            <w:tcW w:w="1530" w:type="dxa"/>
            <w:vMerge/>
            <w:shd w:val="clear" w:color="auto" w:fill="auto"/>
            <w:vAlign w:val="center"/>
          </w:tcPr>
          <w:p w14:paraId="74397D57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C8A60E6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Knowledge and beliefs</w:t>
            </w:r>
          </w:p>
        </w:tc>
        <w:tc>
          <w:tcPr>
            <w:tcW w:w="5480" w:type="dxa"/>
            <w:shd w:val="clear" w:color="auto" w:fill="auto"/>
          </w:tcPr>
          <w:p w14:paraId="43B43FC8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Impact of knowledge and beliefs on choices and habits; detrimental beliefs and practices</w:t>
            </w:r>
          </w:p>
        </w:tc>
      </w:tr>
      <w:tr w:rsidR="008A20CF" w:rsidRPr="00EC1048" w14:paraId="5212736F" w14:textId="77777777" w:rsidTr="00533B0D">
        <w:trPr>
          <w:trHeight w:val="63"/>
        </w:trPr>
        <w:tc>
          <w:tcPr>
            <w:tcW w:w="1530" w:type="dxa"/>
            <w:vMerge/>
            <w:shd w:val="clear" w:color="auto" w:fill="auto"/>
            <w:vAlign w:val="center"/>
          </w:tcPr>
          <w:p w14:paraId="0EF1512F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AC44194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Causes of diabetes</w:t>
            </w:r>
          </w:p>
        </w:tc>
        <w:tc>
          <w:tcPr>
            <w:tcW w:w="5480" w:type="dxa"/>
            <w:shd w:val="clear" w:color="auto" w:fill="auto"/>
          </w:tcPr>
          <w:p w14:paraId="3614ABE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Knowledge and beliefs regarding diabetes; impact on behavior</w:t>
            </w:r>
          </w:p>
        </w:tc>
      </w:tr>
      <w:tr w:rsidR="008A20CF" w:rsidRPr="00EC1048" w14:paraId="4273866D" w14:textId="77777777" w:rsidTr="00533B0D">
        <w:trPr>
          <w:trHeight w:val="69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28E358F8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Health resources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D8EE4C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Knowledge resources</w:t>
            </w:r>
          </w:p>
        </w:tc>
        <w:tc>
          <w:tcPr>
            <w:tcW w:w="5480" w:type="dxa"/>
            <w:shd w:val="clear" w:color="auto" w:fill="auto"/>
          </w:tcPr>
          <w:p w14:paraId="013AA90A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Present or absent, used or ignored</w:t>
            </w:r>
          </w:p>
        </w:tc>
      </w:tr>
      <w:tr w:rsidR="008A20CF" w:rsidRPr="00EC1048" w14:paraId="60357FBE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64F8DA5D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9DE1420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Health insurance</w:t>
            </w:r>
          </w:p>
        </w:tc>
        <w:tc>
          <w:tcPr>
            <w:tcW w:w="5480" w:type="dxa"/>
            <w:shd w:val="clear" w:color="auto" w:fill="auto"/>
          </w:tcPr>
          <w:p w14:paraId="17B6F083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Health insurance literacy; access to health insurance</w:t>
            </w:r>
          </w:p>
        </w:tc>
      </w:tr>
      <w:tr w:rsidR="008A20CF" w:rsidRPr="00EC1048" w14:paraId="2099CD1F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7F729807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A3F35F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Medical care</w:t>
            </w:r>
          </w:p>
        </w:tc>
        <w:tc>
          <w:tcPr>
            <w:tcW w:w="5480" w:type="dxa"/>
            <w:shd w:val="clear" w:color="auto" w:fill="auto"/>
          </w:tcPr>
          <w:p w14:paraId="1606DEB0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Presence of and access to medical care; relationship to medical care</w:t>
            </w:r>
          </w:p>
        </w:tc>
      </w:tr>
      <w:tr w:rsidR="008A20CF" w:rsidRPr="00EC1048" w14:paraId="38EB9649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475EE72B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ED72C59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(Formal) networks in place</w:t>
            </w:r>
          </w:p>
        </w:tc>
        <w:tc>
          <w:tcPr>
            <w:tcW w:w="5480" w:type="dxa"/>
            <w:shd w:val="clear" w:color="auto" w:fill="auto"/>
          </w:tcPr>
          <w:p w14:paraId="3FCD1000" w14:textId="77777777" w:rsidR="008A20CF" w:rsidRPr="007F6893" w:rsidRDefault="008A20CF" w:rsidP="00533B0D">
            <w:pPr>
              <w:pStyle w:val="ListParagraph"/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20CF" w:rsidRPr="00EC1048" w14:paraId="7673E4FD" w14:textId="77777777" w:rsidTr="00533B0D">
        <w:trPr>
          <w:trHeight w:val="69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0F13088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Stressors of urban living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DFAC37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Mental health</w:t>
            </w:r>
          </w:p>
        </w:tc>
        <w:tc>
          <w:tcPr>
            <w:tcW w:w="5480" w:type="dxa"/>
            <w:shd w:val="clear" w:color="auto" w:fill="auto"/>
          </w:tcPr>
          <w:p w14:paraId="42DEBFE1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Impact of urban stressors on mental health</w:t>
            </w:r>
          </w:p>
        </w:tc>
      </w:tr>
      <w:tr w:rsidR="008A20CF" w:rsidRPr="00EC1048" w14:paraId="32C45E8F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5724BE56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7A6CFF8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Commuting culture</w:t>
            </w:r>
          </w:p>
        </w:tc>
        <w:tc>
          <w:tcPr>
            <w:tcW w:w="5480" w:type="dxa"/>
            <w:shd w:val="clear" w:color="auto" w:fill="auto"/>
          </w:tcPr>
          <w:p w14:paraId="1585380F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Commuting, presence or absence of local amenities</w:t>
            </w:r>
          </w:p>
        </w:tc>
      </w:tr>
      <w:tr w:rsidR="008A20CF" w:rsidRPr="00EC1048" w14:paraId="61773FDD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326C55E3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27B950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Physical health</w:t>
            </w:r>
          </w:p>
        </w:tc>
        <w:tc>
          <w:tcPr>
            <w:tcW w:w="5480" w:type="dxa"/>
            <w:shd w:val="clear" w:color="auto" w:fill="auto"/>
          </w:tcPr>
          <w:p w14:paraId="6BFCEF5A" w14:textId="77777777" w:rsidR="008A20CF" w:rsidRPr="007F6893" w:rsidRDefault="008A20CF" w:rsidP="00533B0D">
            <w:pPr>
              <w:pStyle w:val="ListParagraph"/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20CF" w:rsidRPr="00EC1048" w14:paraId="286299F0" w14:textId="77777777" w:rsidTr="00533B0D">
        <w:trPr>
          <w:trHeight w:val="67"/>
        </w:trPr>
        <w:tc>
          <w:tcPr>
            <w:tcW w:w="1530" w:type="dxa"/>
            <w:vMerge/>
            <w:shd w:val="clear" w:color="auto" w:fill="auto"/>
            <w:vAlign w:val="center"/>
          </w:tcPr>
          <w:p w14:paraId="36D9E384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FFA1DD0" w14:textId="77777777" w:rsidR="008A20CF" w:rsidRPr="007F6893" w:rsidRDefault="008A20CF" w:rsidP="00533B0D">
            <w:pPr>
              <w:jc w:val="both"/>
              <w:rPr>
                <w:sz w:val="20"/>
                <w:szCs w:val="20"/>
              </w:rPr>
            </w:pPr>
            <w:r w:rsidRPr="007F6893">
              <w:rPr>
                <w:sz w:val="20"/>
                <w:szCs w:val="20"/>
              </w:rPr>
              <w:t>Isolation and loneliness</w:t>
            </w:r>
          </w:p>
        </w:tc>
        <w:tc>
          <w:tcPr>
            <w:tcW w:w="5480" w:type="dxa"/>
            <w:shd w:val="clear" w:color="auto" w:fill="auto"/>
          </w:tcPr>
          <w:p w14:paraId="19568CC1" w14:textId="77777777" w:rsidR="008A20CF" w:rsidRPr="007F6893" w:rsidRDefault="008A20CF" w:rsidP="008A20CF">
            <w:pPr>
              <w:pStyle w:val="ListParagraph"/>
              <w:numPr>
                <w:ilvl w:val="0"/>
                <w:numId w:val="1"/>
              </w:numPr>
              <w:ind w:left="257" w:hanging="180"/>
              <w:jc w:val="both"/>
              <w:rPr>
                <w:sz w:val="20"/>
                <w:szCs w:val="20"/>
                <w:lang w:eastAsia="en-US"/>
              </w:rPr>
            </w:pPr>
            <w:r w:rsidRPr="007F6893">
              <w:rPr>
                <w:sz w:val="20"/>
                <w:szCs w:val="20"/>
                <w:lang w:eastAsia="en-US"/>
              </w:rPr>
              <w:t>Impact on mental and physical health</w:t>
            </w:r>
          </w:p>
        </w:tc>
      </w:tr>
    </w:tbl>
    <w:p w14:paraId="555C7751" w14:textId="77777777" w:rsidR="008A20CF" w:rsidRDefault="008A20CF"/>
    <w:sectPr w:rsidR="008A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018"/>
    <w:multiLevelType w:val="hybridMultilevel"/>
    <w:tmpl w:val="03C63F9A"/>
    <w:lvl w:ilvl="0" w:tplc="2D7E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CF"/>
    <w:rsid w:val="007A6B3B"/>
    <w:rsid w:val="008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9FDD"/>
  <w15:chartTrackingRefBased/>
  <w15:docId w15:val="{8E9A2D10-91CE-4FA0-9FDB-C160012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0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20CF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rsid w:val="008A20CF"/>
    <w:rPr>
      <w:rFonts w:ascii="Times New Roman" w:eastAsia="Calibri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2019-01-08T03:55:00Z</dcterms:created>
  <dcterms:modified xsi:type="dcterms:W3CDTF">2019-01-08T03:55:00Z</dcterms:modified>
</cp:coreProperties>
</file>