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5" w:rsidRPr="00C91D51" w:rsidRDefault="00016805" w:rsidP="00016805">
      <w:pPr>
        <w:rPr>
          <w:color w:val="000000" w:themeColor="text1"/>
          <w:sz w:val="20"/>
          <w:szCs w:val="20"/>
          <w:lang w:val="en-US"/>
        </w:rPr>
      </w:pPr>
      <w:r w:rsidRPr="00C91D51">
        <w:rPr>
          <w:color w:val="000000" w:themeColor="text1"/>
        </w:rPr>
        <w:tab/>
      </w:r>
      <w:r w:rsidRPr="00C91D51">
        <w:rPr>
          <w:color w:val="000000" w:themeColor="text1"/>
        </w:rPr>
        <w:tab/>
      </w:r>
      <w:r w:rsidRPr="00C91D51">
        <w:rPr>
          <w:b/>
          <w:color w:val="000000" w:themeColor="text1"/>
          <w:sz w:val="22"/>
          <w:szCs w:val="22"/>
          <w:lang w:val="en-US"/>
        </w:rPr>
        <w:t>Table 2</w:t>
      </w:r>
      <w:r w:rsidRPr="00C91D51">
        <w:rPr>
          <w:color w:val="000000" w:themeColor="text1"/>
          <w:sz w:val="22"/>
          <w:szCs w:val="22"/>
          <w:lang w:val="en-US"/>
        </w:rPr>
        <w:t>:</w:t>
      </w:r>
      <w:r w:rsidRPr="00C91D51">
        <w:rPr>
          <w:color w:val="000000" w:themeColor="text1"/>
          <w:sz w:val="20"/>
          <w:szCs w:val="20"/>
          <w:lang w:val="en-US"/>
        </w:rPr>
        <w:t xml:space="preserve"> Epidemiological prospective cohort studies on dietary intake of flavonoids and colorectal cancer risk.</w:t>
      </w:r>
    </w:p>
    <w:p w:rsidR="00CB01A9" w:rsidRPr="00C91D51" w:rsidRDefault="00CB01A9">
      <w:pPr>
        <w:rPr>
          <w:color w:val="000000" w:themeColor="text1"/>
        </w:rPr>
      </w:pPr>
    </w:p>
    <w:p w:rsidR="00016805" w:rsidRPr="00C91D51" w:rsidRDefault="00016805">
      <w:pPr>
        <w:rPr>
          <w:color w:val="000000" w:themeColor="text1"/>
        </w:rPr>
      </w:pPr>
      <w:r w:rsidRPr="00C91D51">
        <w:rPr>
          <w:color w:val="000000" w:themeColor="text1"/>
        </w:rPr>
        <w:tab/>
      </w:r>
      <w:r w:rsidRPr="00C91D51">
        <w:rPr>
          <w:color w:val="000000" w:themeColor="text1"/>
        </w:rPr>
        <w:tab/>
      </w:r>
      <w:r w:rsidRPr="00C91D51">
        <w:rPr>
          <w:color w:val="000000" w:themeColor="text1"/>
        </w:rPr>
        <w:tab/>
      </w:r>
      <w:r w:rsidRPr="00C91D51">
        <w:rPr>
          <w:color w:val="000000" w:themeColor="text1"/>
        </w:rPr>
        <w:tab/>
      </w:r>
      <w:r w:rsidRPr="00C91D51">
        <w:rPr>
          <w:color w:val="000000" w:themeColor="text1"/>
        </w:rPr>
        <w:tab/>
      </w:r>
    </w:p>
    <w:tbl>
      <w:tblPr>
        <w:tblW w:w="15480" w:type="dxa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614"/>
        <w:gridCol w:w="1678"/>
        <w:gridCol w:w="990"/>
        <w:gridCol w:w="912"/>
        <w:gridCol w:w="1184"/>
        <w:gridCol w:w="896"/>
        <w:gridCol w:w="674"/>
        <w:gridCol w:w="1345"/>
        <w:gridCol w:w="1390"/>
        <w:gridCol w:w="1377"/>
        <w:gridCol w:w="765"/>
        <w:gridCol w:w="1960"/>
        <w:gridCol w:w="695"/>
      </w:tblGrid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 subclass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Certain compound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Cancer subsite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Study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Median follow-up (years)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Gen-der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Cases/cohort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Intake comparison (low </w:t>
            </w:r>
            <w:r w:rsidRPr="00C91D51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high, mg/day)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Multivariate-adjusted RR/HR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P for trend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Comments</w:t>
            </w:r>
            <w:r w:rsidRPr="00C91D51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Refe-rence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NHS, 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878/107401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1.19 (0.94-1.49)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380/35425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10.7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&gt; 30.5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1.28 (0.89-1.83)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498/71976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9.6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&gt; 31.1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1.13 (0.83-1.52)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11.5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305/38408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(0.68-1.49)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≥ 45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[26]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72/9959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2.1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&gt; 4.8 (M); &lt; 2.4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&gt; 5.5 (F)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0.74 (0.32-1.68)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15-90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4.3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26.9 (M); 8.5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39.5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0.84 (0.43-1.64)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9.1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416.3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1.14 (0.70-1.84)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large bowel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603/3123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12.7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43.5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 (0.71-1.32)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[30]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2519/118842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(0.89-1.15)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1061/42478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(0.85-1.27)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1458/76364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 (0.83-1.18)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0.73 (0.44-1.22)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0.183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1982/118842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1.07 (0.92-1.24)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831/42478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1.12 (0.89-1.40)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1151/76364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1.00 (0.83-1.22)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537/118842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0.81 (0.60-1.08)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230/42478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0.75 (0.47-1.19)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307/76364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(0.58-1.24)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2519/118842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(0.91-1.18)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1061/42478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1.00 (0.82-1.22)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1458/76364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1.06 (0.90-1.26)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 (0.61-1.62)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0.661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1982/118842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(0.86-1.17)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831/42478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1.02 (0.82-1.28)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1151/76364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(0.83-1.22)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537/118842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1.11 (0.79-1.57)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230/42478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0.92 (0.59-1.42)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307/76364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1.30 (0.90-1.90)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NHS, 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878/107401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1.12 (0.90-1.39)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380/35425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1.09 (0.78-1.52)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498/71976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1.14 (0.85-1.52)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055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3.5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9.7-32.2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0.94 (0.74-1.19)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4.4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10.8-28.5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0.88 (0.68-1.13)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[0.69 (0.49-0.98), p 0.04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0.1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0.8 (M); 0.2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0.9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1.13 (0.60-2.12)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3.5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9.7-32.2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(0.77-1.33)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no significant effect modification by BMI (&lt; 25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4.4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10.8-28.5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0.89 (0.68-1.17)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large bowel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603/3123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12.4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0.86 (0.64-1.17)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0.734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[30]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&lt; 3.5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9.7-32.2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0.88 (0.62-1.26)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 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4.4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10.8-28.5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(0.58-1.56)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 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NHS, 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878/107401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1.07 (0.67-1.59)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380/35425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1.33 (0.93-1.89)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498/71976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0.89 (0.67-1.18)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2.1-9.2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0.94 (0.74-1.20)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2.3-7.4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0.89 (0.69-1.14)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[0.66 (0.47-0.94), p 0.03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0.11 (M); 0.03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0.20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1.31 (0.71-2.43)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2.1-9.2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(0.77-1.33)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2.3-7.4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0.87 (0.66-1.15)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[0.68 (0.47-0.99), p 0.05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2.1-9.2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(0.60-1.22)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2.3-7.4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1.05 (0.63-1.75)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NHS, 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878/107401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1.06 (0.84-1.34)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380/35425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1.16 (0.80-1.68)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498/71976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(0.75-1.35)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0.6-10.8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24.8-73.6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(0.74-1.21)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0.5-12.3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26.1-65.6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0.89 (0.69-1.16)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1.5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3.9 (M); 1.8 vs 4.7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0.62 (0.33-1.17)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0.6-10.8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24.8-73.6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0.92 (0.70-1.21)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0.5-12.3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26.1-65.6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0.93 (0.70-1.23)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large bowel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603/3123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8.4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30.3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1.06 (0.77-1.45)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0.593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[30]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0.6-10.8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24.8-73.6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0.98 (0.67-1.42)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0.5-12.3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26.1-65.6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0.93 (0.56-1.55)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2519/118842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0.96 (0.84-1.10)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1061/42478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1.02 (0.83-1.25)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1458/76364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0.93 (0.78-1.10)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1.10 (0.64-1.89)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0.587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1982/118842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0.96 (0.83-1.12)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831/42478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(0.80-1.28)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1151/76364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0.93 (0.77-1.13)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537/118842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(0.71-1.27)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230/42478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1.00 (0.64-1.56)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307/76364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0.92 (0.63-1.34)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15.4 (M); 3.2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26.8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 (0.50-1.90)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FMC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90/9865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0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4.7 (M);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7.7 (F)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0.93 (0.48-1.82)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[28]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2519/118842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1.07 (0.95-1.21)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1061/42478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1.12 (0.92-1.36)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1458/76364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(0.88-1.23)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&lt; 24.2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84.3-290.1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 (0.77-1.25)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36.2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95.9-287.3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0.79 (0.61-1.02)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[0.60 (0.43-0.86), p 0.02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1.13 (0.70-1.82)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0.941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1982/118842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1.09 (0.93-1.27)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831/42478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1.20 (0.96-1.50)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1151/76364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1.02 (0.85-1.23)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IWHS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635/34651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3.6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75.1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1.10 (0.85-1.44)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postmenopausal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[31]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24.2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84.3-290.1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1.13 (0.86-1.48)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36.2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95.9-287.3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0.82 (0.62-1.09)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[0.62 (0.43-0.91), p 0.04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IWHS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352/34651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3.6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75.1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1.18 (0.84-1.66)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postmenopausal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[31]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IWHS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268/34651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3.6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75.1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(0.67-1.62)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postmenopausal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[31]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537/118842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1.02 (0.78-1.34)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230/42478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0.90 (0.60-1.35)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307/76364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1.13 (0.79-1.63)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IWHS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132/34651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3.6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75.1 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0.55 (0.32-0.95)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0.02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postmenopausal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[31]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24.2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84.3-290.1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(0.56-1.14)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men with BMI ≥ 25 [0.63 (0.36-1.08), p 0.04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&lt;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36.2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95.9-287.3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(0.48-1.33)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5.7-36.4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 (0.78-1.26)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6.2-23.2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0.83 (0.64-1.09)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[0.74 (0.52-1.06), p 0.04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5.7-36.4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(0.79-1.35)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6.2-23.2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0.81 (0.60-1.09)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5.7-36.4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(0.56-1.16)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men with BMI ≥ 25 [0.52 (0.30-0.92), p 0.03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&lt;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6.2-23.2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(0.48-1.33)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6.7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18.2-53.9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1.08 (0.85-1.38)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8.6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20.4-51.4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(0.66-1.10)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[0.74 (0.52-1.05), p 0.04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[59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6.7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18.2-53.9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1.07 (0.81-1.41)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8.6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20.4-51.4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(0.61-1.06)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6.7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18.2-53.9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0.94 (0.64-1.36)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men with BMI ≥ 25 [0.66 (0.38-1.16), p 0.05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 &lt;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8.6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20.4-51.4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(0.49-1.48)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29.1-109.0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(0.79-1.29)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29.5-109.2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0.81 (0.62-1.04)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[0.60 (0.42-0.86), p 0.02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29.1-109.0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1.23 (0.93-1.61)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29.5-109.2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(0.64-1.12)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7.3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29.1-109.0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0.75 (0.52-1.07)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men with BMI ≥ 25, not &lt;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7.4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29.5-109.2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0.83 (0.49-1.38)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1.8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6.9-25.8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0.96 (0.76-1.23)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7.6-25.0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0.83 (0.65-1.08)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[0.59 (0.42-0.83), p 0.02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1.8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6.9-25.8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1.12 (0.85-1.46)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7.6-25.0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0.86 (0.65-1.13)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[0.61 (0.42-0.89), p 0.05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1.8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6.9-25.8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0.83 (0.59-1.19)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2.4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7.6-25.0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(0.51-1.42)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&lt; 5.4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(0.74-1.22)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948/62573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5.4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 (0.62-1.03)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[0.57 (0.40-0.81), p 0.01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5.4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1.05 (0.79-1.39)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5.4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0.82 (0.62-1.08)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[0.59 (0.40-0.86), p 0.03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5.4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(0.58-1.24)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(-)-Epigallocatechin gallate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5.4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24.3-81.0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0.84 (0.51-1.40)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1271/58279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4.3-16.5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1.01 (0.79-1.31)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no significant effect modification by BMI (&lt; 25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645/58279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4.3-11.1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(0.66-1.38)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BMI ≥ 25; significant inverse association for women with BMI &lt; 25 [0.60/0.42-0.86), p 0.02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820/58279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4.3-16.5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1.24 (0.93-1.66)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695/62573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4.4-16.0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0.84 (0.63-1.11)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significant inverse association for women with BMI &lt; 25 [0.62 (0.42-0.92), p 0.05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],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326/58279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0.9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4.3-16.5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0.74 (0.50-1.09)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55-69 y; no significant effect modification by BMI (&lt; 25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≥ 25)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(+)-Gallocatechin</w:t>
            </w: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NLCS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Dutch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13.3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175/62573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&lt; 1.2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4.4-16.0 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0.84 (0.51-1.38)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55-69 y; stronger insignificant inverse association for women with BMI &lt; 25, not ≥ 25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[5]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SWHS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6.4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321/68412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(T3)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0.76 (0.56-1.01)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[16]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886/39069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0.89 (0.67-1.17)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886/43994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1.07 (0.78-1.47)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886/39069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0.76 (0.55-1.07)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886/43994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1.11 (0.77-1.61)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111/13894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22.45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59.58 (T3)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1.47 (0.90-2.40)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≥35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[32]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102/16327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21.65 </w:t>
            </w:r>
            <w:r w:rsidRPr="00C91D51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 xml:space="preserve"> 54.59 (T3)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0.73 (0.44-1.18)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≥35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[32]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886/39069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0.55 (0.33-0.92)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0.007</w:t>
            </w:r>
            <w:r w:rsidRPr="00C91D51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886/43994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1.10 (0.65-1.85)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886/39069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0.98 (0.61-1.57)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886/43994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1.02 (0.57-1.84)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886/39069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1.17 (0.72-1.91)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0.61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JPHC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Japanese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886/43994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0.97 (0.52-1.79)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0.79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45-74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[3]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2519/118842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0.98 (0.81-1.19)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1061/42478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0.88 (0.72-1.08)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1458/76364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1.08 (0.90-1.28)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KIHD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55/2590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1.41 (0.85-2.33)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0.178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42-60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[29]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1982/118842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0.95 (0.77-1.16)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831/42478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0.85 (0.67-1.07)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1151/76364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(0.86-1.27)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HPFS, 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537/118842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1.10 (0.83-1.45)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HPFS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230/42478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0.99 (0.65-1.50)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0.83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40-75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  <w:tr w:rsidR="00016805" w:rsidRPr="00C91D51" w:rsidTr="0094179A">
        <w:tc>
          <w:tcPr>
            <w:tcW w:w="1614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678" w:type="dxa"/>
          </w:tcPr>
          <w:p w:rsidR="00016805" w:rsidRPr="00C91D51" w:rsidRDefault="00016805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912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NHS</w:t>
            </w:r>
          </w:p>
        </w:tc>
        <w:tc>
          <w:tcPr>
            <w:tcW w:w="1184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896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134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307/76364</w:t>
            </w:r>
          </w:p>
        </w:tc>
        <w:tc>
          <w:tcPr>
            <w:tcW w:w="139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77" w:type="dxa"/>
          </w:tcPr>
          <w:p w:rsidR="00016805" w:rsidRPr="00C91D51" w:rsidRDefault="00016805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1.04 (0.71-1.52)</w:t>
            </w:r>
          </w:p>
        </w:tc>
        <w:tc>
          <w:tcPr>
            <w:tcW w:w="76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960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30-55 y</w:t>
            </w:r>
          </w:p>
        </w:tc>
        <w:tc>
          <w:tcPr>
            <w:tcW w:w="695" w:type="dxa"/>
          </w:tcPr>
          <w:p w:rsidR="00016805" w:rsidRPr="00C91D51" w:rsidRDefault="00016805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91D51">
              <w:rPr>
                <w:color w:val="000000" w:themeColor="text1"/>
                <w:sz w:val="20"/>
                <w:szCs w:val="20"/>
                <w:lang w:val="en-US"/>
              </w:rPr>
              <w:t>[17]</w:t>
            </w:r>
          </w:p>
        </w:tc>
      </w:tr>
    </w:tbl>
    <w:p w:rsidR="00016805" w:rsidRPr="00C91D51" w:rsidRDefault="00016805">
      <w:pPr>
        <w:rPr>
          <w:color w:val="000000" w:themeColor="text1"/>
        </w:rPr>
      </w:pPr>
    </w:p>
    <w:p w:rsidR="00016805" w:rsidRPr="00C91D51" w:rsidRDefault="00016805" w:rsidP="00724961">
      <w:pPr>
        <w:ind w:left="1440"/>
        <w:jc w:val="both"/>
        <w:rPr>
          <w:color w:val="000000" w:themeColor="text1"/>
          <w:sz w:val="20"/>
          <w:szCs w:val="20"/>
          <w:lang w:val="en-US"/>
        </w:rPr>
      </w:pPr>
      <w:r w:rsidRPr="00C91D51">
        <w:rPr>
          <w:color w:val="000000" w:themeColor="text1"/>
          <w:sz w:val="20"/>
          <w:szCs w:val="20"/>
          <w:vertAlign w:val="superscript"/>
          <w:lang w:val="en-US"/>
        </w:rPr>
        <w:t>a</w:t>
      </w:r>
      <w:r w:rsidRPr="00C91D51">
        <w:rPr>
          <w:color w:val="000000" w:themeColor="text1"/>
          <w:sz w:val="20"/>
          <w:szCs w:val="20"/>
          <w:lang w:val="en-US"/>
        </w:rPr>
        <w:t xml:space="preserve">FMC: The Finnish Mobile Clinic Health Examination Survey; HPFS: The Health Professionals Follow-Up Study; IWHS: The Iowa Women`s Health Study; JPHC: The Japan Public Health Center-based prospective study; KIHD: The Kuopio Ischaemic Heart Disease Risk Factor Study; NHS: The Nurses Health Study; NLCS: The Netherlands Cohort Study; SWHS: The Shanghai Women`s Health Study; WHS: The Women`s Health Study; </w:t>
      </w:r>
      <w:r w:rsidRPr="00C91D51">
        <w:rPr>
          <w:color w:val="000000" w:themeColor="text1"/>
          <w:sz w:val="20"/>
          <w:szCs w:val="20"/>
          <w:vertAlign w:val="superscript"/>
          <w:lang w:val="en-US"/>
        </w:rPr>
        <w:t>b</w:t>
      </w:r>
      <w:r w:rsidRPr="00C91D51">
        <w:rPr>
          <w:color w:val="000000" w:themeColor="text1"/>
          <w:sz w:val="20"/>
          <w:szCs w:val="20"/>
          <w:lang w:val="en-US"/>
        </w:rPr>
        <w:t xml:space="preserve">F: Female; M: Male; </w:t>
      </w:r>
      <w:r w:rsidRPr="00C91D51">
        <w:rPr>
          <w:color w:val="000000" w:themeColor="text1"/>
          <w:sz w:val="20"/>
          <w:szCs w:val="20"/>
          <w:vertAlign w:val="superscript"/>
          <w:lang w:val="en-US"/>
        </w:rPr>
        <w:t>c</w:t>
      </w:r>
      <w:r w:rsidRPr="00C91D51">
        <w:rPr>
          <w:color w:val="000000" w:themeColor="text1"/>
          <w:sz w:val="20"/>
          <w:szCs w:val="20"/>
          <w:lang w:val="en-US"/>
        </w:rPr>
        <w:t xml:space="preserve">Q4: Quartile; Q5: Quintile; T3: Tertile; </w:t>
      </w:r>
      <w:r w:rsidRPr="00C91D51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C91D51">
        <w:rPr>
          <w:color w:val="000000" w:themeColor="text1"/>
          <w:sz w:val="20"/>
          <w:szCs w:val="20"/>
          <w:lang w:val="en-US"/>
        </w:rPr>
        <w:t xml:space="preserve">HR: Hazard Ratio; RR: Relative Risk; </w:t>
      </w:r>
      <w:r w:rsidRPr="00C91D51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C91D51">
        <w:rPr>
          <w:color w:val="000000" w:themeColor="text1"/>
          <w:sz w:val="20"/>
          <w:szCs w:val="20"/>
          <w:lang w:val="en-US"/>
        </w:rPr>
        <w:t xml:space="preserve">Statistically significant effects (p for trend &lt; 0.05) are marked by asterisk; </w:t>
      </w:r>
      <w:r w:rsidRPr="00C91D51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C91D51">
        <w:rPr>
          <w:color w:val="000000" w:themeColor="text1"/>
          <w:sz w:val="20"/>
          <w:szCs w:val="20"/>
          <w:lang w:val="en-US"/>
        </w:rPr>
        <w:t>BMI: Body Mass Index.</w:t>
      </w:r>
    </w:p>
    <w:p w:rsidR="00016805" w:rsidRPr="00C91D51" w:rsidRDefault="00016805">
      <w:pPr>
        <w:rPr>
          <w:color w:val="000000" w:themeColor="text1"/>
        </w:rPr>
      </w:pPr>
    </w:p>
    <w:sectPr w:rsidR="00016805" w:rsidRPr="00C91D51" w:rsidSect="00CB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6B4D"/>
    <w:multiLevelType w:val="hybridMultilevel"/>
    <w:tmpl w:val="D98ECEAA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C4A5B"/>
    <w:multiLevelType w:val="hybridMultilevel"/>
    <w:tmpl w:val="ACBAD686"/>
    <w:lvl w:ilvl="0" w:tplc="F1C820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F6A32"/>
    <w:multiLevelType w:val="hybridMultilevel"/>
    <w:tmpl w:val="71E60D2A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B5B2B"/>
    <w:multiLevelType w:val="hybridMultilevel"/>
    <w:tmpl w:val="A202D6D8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016805"/>
    <w:rsid w:val="00016805"/>
    <w:rsid w:val="001D6700"/>
    <w:rsid w:val="00724961"/>
    <w:rsid w:val="0094179A"/>
    <w:rsid w:val="00C91D51"/>
    <w:rsid w:val="00CB01A9"/>
    <w:rsid w:val="00D4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link w:val="Heading1Char"/>
    <w:qFormat/>
    <w:rsid w:val="000168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16805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character" w:styleId="Hyperlink">
    <w:name w:val="Hyperlink"/>
    <w:basedOn w:val="DefaultParagraphFont"/>
    <w:rsid w:val="00016805"/>
    <w:rPr>
      <w:color w:val="0000FF"/>
      <w:u w:val="single"/>
    </w:rPr>
  </w:style>
  <w:style w:type="character" w:customStyle="1" w:styleId="highlight">
    <w:name w:val="highlight"/>
    <w:basedOn w:val="DefaultParagraphFont"/>
    <w:rsid w:val="00016805"/>
  </w:style>
  <w:style w:type="paragraph" w:styleId="Footer">
    <w:name w:val="footer"/>
    <w:basedOn w:val="Normal"/>
    <w:link w:val="FooterChar"/>
    <w:rsid w:val="000168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16805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PageNumber">
    <w:name w:val="page number"/>
    <w:basedOn w:val="DefaultParagraphFont"/>
    <w:rsid w:val="00016805"/>
  </w:style>
  <w:style w:type="paragraph" w:styleId="Header">
    <w:name w:val="header"/>
    <w:basedOn w:val="Normal"/>
    <w:link w:val="HeaderChar"/>
    <w:rsid w:val="00016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6805"/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3134</Words>
  <Characters>17864</Characters>
  <Application>Microsoft Office Word</Application>
  <DocSecurity>0</DocSecurity>
  <Lines>148</Lines>
  <Paragraphs>41</Paragraphs>
  <ScaleCrop>false</ScaleCrop>
  <Company>Microsoft</Company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2017-11-30T05:41:00Z</dcterms:created>
  <dcterms:modified xsi:type="dcterms:W3CDTF">2017-11-30T05:45:00Z</dcterms:modified>
</cp:coreProperties>
</file>